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COMUNICADO DE PRENSA</w:t>
      </w:r>
    </w:p>
    <w:p>
      <w:pPr>
        <w:rPr>
          <w:rFonts w:ascii="Arial" w:hAnsi="Arial" w:cs="Arial"/>
          <w:b/>
          <w:bCs/>
        </w:rPr>
      </w:pPr>
      <w:r>
        <w:rPr>
          <w:rFonts w:ascii="Arial" w:hAnsi="Arial"/>
          <w:b/>
        </w:rPr>
        <w:t xml:space="preserve">Würth Elektronik amplía considerablemente su gama de productos para la gestión térmica </w:t>
      </w:r>
    </w:p>
    <w:p>
      <w:pPr>
        <w:pStyle w:val="Kopfzeile"/>
        <w:tabs>
          <w:tab w:val="clear" w:pos="4536"/>
          <w:tab w:val="clear" w:pos="9072"/>
        </w:tabs>
        <w:spacing w:before="360" w:after="360"/>
        <w:rPr>
          <w:rFonts w:ascii="Arial" w:hAnsi="Arial" w:cs="Arial"/>
          <w:b/>
          <w:bCs/>
          <w:sz w:val="36"/>
        </w:rPr>
      </w:pPr>
      <w:r>
        <w:rPr>
          <w:rFonts w:ascii="Arial" w:hAnsi="Arial"/>
          <w:b/>
          <w:color w:val="000000"/>
          <w:sz w:val="36"/>
        </w:rPr>
        <w:t>Conducir y distribuir el calor</w:t>
      </w:r>
    </w:p>
    <w:p>
      <w:pPr>
        <w:pStyle w:val="Textkrper"/>
        <w:spacing w:before="120" w:after="120" w:line="260" w:lineRule="exact"/>
        <w:jc w:val="both"/>
        <w:rPr>
          <w:rFonts w:ascii="Arial" w:hAnsi="Arial"/>
          <w:color w:val="000000"/>
        </w:rPr>
      </w:pPr>
      <w:r>
        <w:rPr>
          <w:rFonts w:ascii="Arial" w:hAnsi="Arial"/>
          <w:color w:val="000000"/>
        </w:rPr>
        <w:t xml:space="preserve">Waldenburg (Alemania), 13 de diciembre de 2021 – Würth Elektronik se consolida cada vez más como «One Stop Shop» para </w:t>
      </w:r>
      <w:bookmarkStart w:id="1" w:name="_Hlk72238934"/>
      <w:r>
        <w:rPr>
          <w:rFonts w:ascii="Arial" w:hAnsi="Arial"/>
          <w:color w:val="000000"/>
        </w:rPr>
        <w:t xml:space="preserve">materiales de interfaz térmica </w:t>
      </w:r>
      <w:bookmarkEnd w:id="1"/>
      <w:r>
        <w:rPr>
          <w:rFonts w:ascii="Arial" w:hAnsi="Arial"/>
          <w:color w:val="000000"/>
        </w:rPr>
        <w:t>(TIM). Prueba de ello son las cinco familias de producto nuevas y la ampliación de otra serie, que ahora ofrecen a los diseñadores electrónicos una selección aún mayor de soluciones para el puente térmico entre componentes y disipadores de calor. También se incluyen los materiales que ayudan a distribuir el calor residual en grandes superficies. Würth Elektronik ofrece servicios adicionales para todas las soluciones tales como la personalización de formas y perfiles, y con entregas a medida para el cliente sin cantidades mínimas de pedido.</w:t>
      </w:r>
    </w:p>
    <w:p>
      <w:pPr>
        <w:pStyle w:val="Textkrper"/>
        <w:spacing w:before="120" w:after="120" w:line="260" w:lineRule="exact"/>
        <w:jc w:val="both"/>
        <w:rPr>
          <w:rFonts w:ascii="Arial" w:hAnsi="Arial"/>
          <w:b w:val="0"/>
          <w:bCs w:val="0"/>
          <w:color w:val="000000"/>
        </w:rPr>
      </w:pPr>
      <w:r>
        <w:rPr>
          <w:rFonts w:ascii="Arial" w:hAnsi="Arial"/>
          <w:b w:val="0"/>
          <w:color w:val="000000"/>
        </w:rPr>
        <w:t>Dependiendo de las perdidas caloríficas y de las características de diseño y montaje, existen distintas posibilidades para disipar el calor. Entre la fuente de calor y el disipador o carcasa se han de minimizar o evitar la resistencia térmica creada entre ambos. Würth Elektronik cuenta ahora con nuevas soluciones con este objetivo.</w:t>
      </w:r>
    </w:p>
    <w:p>
      <w:pPr>
        <w:pStyle w:val="Textkrper"/>
        <w:spacing w:before="120" w:after="120" w:line="260" w:lineRule="exact"/>
        <w:jc w:val="both"/>
        <w:rPr>
          <w:rFonts w:ascii="Arial" w:hAnsi="Arial"/>
          <w:color w:val="000000"/>
        </w:rPr>
      </w:pPr>
      <w:r>
        <w:rPr>
          <w:rFonts w:ascii="Arial" w:hAnsi="Arial"/>
          <w:color w:val="000000"/>
        </w:rPr>
        <w:t>Minimizar el gap térmico</w:t>
      </w:r>
    </w:p>
    <w:bookmarkStart w:id="2" w:name="_Hlk77141053"/>
    <w:p>
      <w:pPr>
        <w:pStyle w:val="Textkrper"/>
        <w:spacing w:before="120" w:after="120" w:line="260" w:lineRule="exact"/>
        <w:jc w:val="both"/>
        <w:rPr>
          <w:rFonts w:ascii="Arial" w:hAnsi="Arial"/>
          <w:b w:val="0"/>
          <w:bCs w:val="0"/>
          <w:color w:val="000000"/>
        </w:rPr>
      </w:pPr>
      <w:r>
        <w:rPr>
          <w:rFonts w:ascii="Arial" w:hAnsi="Arial"/>
          <w:b w:val="0"/>
          <w:color w:val="000000"/>
        </w:rPr>
        <w:fldChar w:fldCharType="begin"/>
      </w:r>
      <w:r>
        <w:rPr>
          <w:rFonts w:ascii="Arial" w:hAnsi="Arial"/>
          <w:b w:val="0"/>
          <w:color w:val="000000"/>
        </w:rPr>
        <w:instrText>HYPERLINK "https://www.we-online.com/catalog/en/THERMAL_WE-TTT"</w:instrText>
      </w:r>
      <w:r>
        <w:rPr>
          <w:rFonts w:ascii="Arial" w:hAnsi="Arial"/>
          <w:b w:val="0"/>
          <w:color w:val="000000"/>
        </w:rPr>
        <w:fldChar w:fldCharType="separate"/>
      </w:r>
      <w:r>
        <w:rPr>
          <w:rStyle w:val="Hyperlink"/>
          <w:rFonts w:ascii="Arial" w:hAnsi="Arial"/>
          <w:b w:val="0"/>
        </w:rPr>
        <w:t>WE-TTT</w:t>
      </w:r>
      <w:r>
        <w:rPr>
          <w:rFonts w:ascii="Arial" w:hAnsi="Arial"/>
          <w:b w:val="0"/>
          <w:color w:val="000000"/>
        </w:rPr>
        <w:fldChar w:fldCharType="end"/>
      </w:r>
      <w:r>
        <w:rPr>
          <w:rFonts w:ascii="Arial" w:hAnsi="Arial"/>
          <w:b w:val="0"/>
          <w:color w:val="000000"/>
        </w:rPr>
        <w:t xml:space="preserve"> es una cinta adhesiva de doble cara termo conductora y aislante  eléctricamente, que se utiliza en semiconductores de potencia, procesadores gráficos, chipsets o módulos de memoria. Gracias a las partículas cerámicas integradas en el adhesivo, alcanza una conductividad térmica de 1 </w:t>
      </w:r>
      <w:bookmarkStart w:id="3" w:name="_Hlk77140647"/>
      <w:r>
        <w:rPr>
          <w:rFonts w:ascii="Arial" w:hAnsi="Arial"/>
          <w:b w:val="0"/>
          <w:color w:val="000000"/>
        </w:rPr>
        <w:t>W/(m</w:t>
      </w:r>
      <w:r>
        <w:rPr>
          <w:rFonts w:ascii="Cambria Math" w:hAnsi="Cambria Math"/>
          <w:b w:val="0"/>
          <w:color w:val="000000"/>
        </w:rPr>
        <w:t>⋅</w:t>
      </w:r>
      <w:r>
        <w:rPr>
          <w:rFonts w:ascii="Arial" w:hAnsi="Arial"/>
          <w:b w:val="0"/>
          <w:color w:val="000000"/>
        </w:rPr>
        <w:t>K)</w:t>
      </w:r>
      <w:bookmarkEnd w:id="3"/>
      <w:r>
        <w:rPr>
          <w:rFonts w:ascii="Arial" w:hAnsi="Arial"/>
          <w:b w:val="0"/>
          <w:color w:val="000000"/>
        </w:rPr>
        <w:t xml:space="preserve">. </w:t>
      </w:r>
      <w:bookmarkEnd w:id="2"/>
      <w:r>
        <w:rPr>
          <w:rFonts w:ascii="Arial" w:hAnsi="Arial"/>
          <w:b w:val="0"/>
          <w:color w:val="000000"/>
        </w:rPr>
        <w:fldChar w:fldCharType="begin"/>
      </w:r>
      <w:r>
        <w:rPr>
          <w:rFonts w:ascii="Arial" w:hAnsi="Arial"/>
          <w:b w:val="0"/>
          <w:color w:val="000000"/>
        </w:rPr>
        <w:instrText>HYPERLINK "https://www.we-online.com/catalog/en/THERMAL_WE-TINS"</w:instrText>
      </w:r>
      <w:r>
        <w:rPr>
          <w:rFonts w:ascii="Arial" w:hAnsi="Arial"/>
          <w:b w:val="0"/>
          <w:color w:val="000000"/>
        </w:rPr>
        <w:fldChar w:fldCharType="separate"/>
      </w:r>
      <w:r>
        <w:rPr>
          <w:rStyle w:val="Hyperlink"/>
          <w:rFonts w:ascii="Arial" w:hAnsi="Arial"/>
          <w:b w:val="0"/>
        </w:rPr>
        <w:t>WE-TINS</w:t>
      </w:r>
      <w:r>
        <w:rPr>
          <w:rFonts w:ascii="Arial" w:hAnsi="Arial"/>
          <w:b w:val="0"/>
          <w:color w:val="000000"/>
        </w:rPr>
        <w:fldChar w:fldCharType="end"/>
      </w:r>
      <w:r>
        <w:rPr>
          <w:rFonts w:ascii="Arial" w:hAnsi="Arial"/>
          <w:b w:val="0"/>
          <w:color w:val="000000"/>
        </w:rPr>
        <w:t xml:space="preserve"> (</w:t>
      </w:r>
      <w:proofErr w:type="spellStart"/>
      <w:r>
        <w:rPr>
          <w:rFonts w:ascii="Arial" w:hAnsi="Arial"/>
          <w:b w:val="0"/>
          <w:color w:val="000000"/>
          <w:u w:val="single"/>
        </w:rPr>
        <w:t>T</w:t>
      </w:r>
      <w:r>
        <w:rPr>
          <w:rFonts w:ascii="Arial" w:hAnsi="Arial"/>
          <w:b w:val="0"/>
          <w:color w:val="000000"/>
        </w:rPr>
        <w:t>hermally</w:t>
      </w:r>
      <w:proofErr w:type="spellEnd"/>
      <w:r>
        <w:rPr>
          <w:rFonts w:ascii="Arial" w:hAnsi="Arial"/>
          <w:b w:val="0"/>
          <w:color w:val="000000"/>
        </w:rPr>
        <w:t xml:space="preserve"> </w:t>
      </w:r>
      <w:proofErr w:type="spellStart"/>
      <w:r>
        <w:rPr>
          <w:rFonts w:ascii="Arial" w:hAnsi="Arial"/>
          <w:b w:val="0"/>
          <w:color w:val="000000"/>
        </w:rPr>
        <w:t>Conductive</w:t>
      </w:r>
      <w:proofErr w:type="spellEnd"/>
      <w:r>
        <w:rPr>
          <w:rFonts w:ascii="Arial" w:hAnsi="Arial"/>
          <w:b w:val="0"/>
          <w:color w:val="000000"/>
        </w:rPr>
        <w:t xml:space="preserve"> </w:t>
      </w:r>
      <w:proofErr w:type="spellStart"/>
      <w:r>
        <w:rPr>
          <w:rFonts w:ascii="Arial" w:hAnsi="Arial"/>
          <w:b w:val="0"/>
          <w:color w:val="000000"/>
          <w:u w:val="single"/>
        </w:rPr>
        <w:t>Ins</w:t>
      </w:r>
      <w:r>
        <w:rPr>
          <w:rFonts w:ascii="Arial" w:hAnsi="Arial"/>
          <w:b w:val="0"/>
          <w:color w:val="000000"/>
        </w:rPr>
        <w:t>ulator</w:t>
      </w:r>
      <w:proofErr w:type="spellEnd"/>
      <w:r>
        <w:rPr>
          <w:rFonts w:ascii="Arial" w:hAnsi="Arial"/>
          <w:b w:val="0"/>
          <w:color w:val="000000"/>
        </w:rPr>
        <w:t xml:space="preserve"> Pad) ha sido diseñado para proporcionar una interfaz térmica entre los transistores y los módulos de refrigeración, manteniendo el aislamiento eléctrico. Los pads se suministran cortados a medida y se caracterizan por su gran resistencia mecánica. </w:t>
      </w:r>
    </w:p>
    <w:p>
      <w:pPr>
        <w:pStyle w:val="Textkrper"/>
        <w:spacing w:before="120" w:after="120" w:line="260" w:lineRule="exact"/>
        <w:jc w:val="both"/>
        <w:rPr>
          <w:rFonts w:ascii="Arial" w:hAnsi="Arial"/>
          <w:b w:val="0"/>
          <w:bCs w:val="0"/>
          <w:color w:val="000000"/>
        </w:rPr>
      </w:pPr>
      <w:hyperlink r:id="rId8" w:history="1">
        <w:r>
          <w:rPr>
            <w:rStyle w:val="Hyperlink"/>
            <w:rFonts w:ascii="Arial" w:hAnsi="Arial"/>
            <w:b w:val="0"/>
          </w:rPr>
          <w:t>WE-PCM</w:t>
        </w:r>
      </w:hyperlink>
      <w:r>
        <w:rPr>
          <w:rFonts w:ascii="Arial" w:hAnsi="Arial"/>
          <w:b w:val="0"/>
          <w:color w:val="000000"/>
        </w:rPr>
        <w:t xml:space="preserve"> (Phase Changing Material) es una alternativa fácil de usar a la pasta termo conductora. El material se amolda con el calor para nivelar perfectamente las micro rugosidades de las superficies de contacto que, de otro modo, se crearían espacios de aire que actuarían como aislante térmico. En el caso de espacios de mayor tamaño, </w:t>
      </w:r>
      <w:hyperlink r:id="rId9" w:history="1">
        <w:r>
          <w:rPr>
            <w:rStyle w:val="Hyperlink"/>
            <w:rFonts w:ascii="Arial" w:hAnsi="Arial"/>
            <w:b w:val="0"/>
          </w:rPr>
          <w:t>WE-TGF</w:t>
        </w:r>
      </w:hyperlink>
      <w:r>
        <w:rPr>
          <w:rFonts w:ascii="Arial" w:hAnsi="Arial"/>
          <w:b w:val="0"/>
          <w:color w:val="000000"/>
        </w:rPr>
        <w:t xml:space="preserve"> ha demostrado ser muy útil. Würth Elektronik ha lanzado al mercado otras versiones de este acolchado de silicona cerámico, que permiten alcanzar así hasta 10 W/(m</w:t>
      </w:r>
      <w:r>
        <w:rPr>
          <w:rFonts w:ascii="Cambria Math" w:hAnsi="Cambria Math"/>
          <w:b w:val="0"/>
          <w:color w:val="000000"/>
        </w:rPr>
        <w:t>⋅</w:t>
      </w:r>
      <w:r>
        <w:rPr>
          <w:rFonts w:ascii="Arial" w:hAnsi="Arial"/>
          <w:b w:val="0"/>
          <w:color w:val="000000"/>
        </w:rPr>
        <w:t>K).</w:t>
      </w:r>
    </w:p>
    <w:p>
      <w:pPr>
        <w:pStyle w:val="Textkrper"/>
        <w:spacing w:before="120" w:after="120" w:line="260" w:lineRule="exact"/>
        <w:jc w:val="both"/>
        <w:rPr>
          <w:rFonts w:ascii="Arial" w:hAnsi="Arial"/>
          <w:color w:val="000000"/>
        </w:rPr>
      </w:pPr>
      <w:r>
        <w:rPr>
          <w:rFonts w:ascii="Arial" w:hAnsi="Arial"/>
          <w:color w:val="000000"/>
        </w:rPr>
        <w:t>Ampliando la superficie</w:t>
      </w:r>
    </w:p>
    <w:p>
      <w:pPr>
        <w:pStyle w:val="Textkrper"/>
        <w:spacing w:before="120" w:after="120" w:line="260" w:lineRule="exact"/>
        <w:jc w:val="both"/>
        <w:rPr>
          <w:rFonts w:ascii="Arial" w:hAnsi="Arial"/>
          <w:b w:val="0"/>
          <w:bCs w:val="0"/>
        </w:rPr>
      </w:pPr>
      <w:r>
        <w:rPr>
          <w:rFonts w:ascii="Arial" w:hAnsi="Arial"/>
          <w:b w:val="0"/>
          <w:color w:val="000000"/>
        </w:rPr>
        <w:t>Rendimientos máximos de conductividad térmica de hasta 1800 W/(m</w:t>
      </w:r>
      <w:r>
        <w:rPr>
          <w:rFonts w:ascii="Cambria Math" w:hAnsi="Cambria Math"/>
          <w:b w:val="0"/>
          <w:color w:val="000000"/>
        </w:rPr>
        <w:t>⋅</w:t>
      </w:r>
      <w:r>
        <w:rPr>
          <w:rFonts w:ascii="Arial" w:hAnsi="Arial"/>
          <w:b w:val="0"/>
          <w:color w:val="000000"/>
        </w:rPr>
        <w:t xml:space="preserve">K) en el eje horizontal son posibles gracias a la lámina de grafito </w:t>
      </w:r>
      <w:hyperlink r:id="rId10" w:history="1">
        <w:r>
          <w:rPr>
            <w:rStyle w:val="Hyperlink"/>
            <w:rFonts w:ascii="Arial" w:hAnsi="Arial"/>
            <w:b w:val="0"/>
          </w:rPr>
          <w:t>WE-TGS</w:t>
        </w:r>
      </w:hyperlink>
      <w:r>
        <w:rPr>
          <w:rFonts w:ascii="Arial" w:hAnsi="Arial"/>
          <w:b w:val="0"/>
          <w:color w:val="000000"/>
        </w:rPr>
        <w:t xml:space="preserve">. </w:t>
      </w:r>
      <w:hyperlink r:id="rId11" w:history="1">
        <w:r>
          <w:rPr>
            <w:rStyle w:val="Hyperlink"/>
            <w:rFonts w:ascii="Arial" w:hAnsi="Arial"/>
            <w:b w:val="0"/>
          </w:rPr>
          <w:t>WE-TGFG</w:t>
        </w:r>
      </w:hyperlink>
      <w:r>
        <w:rPr>
          <w:rFonts w:ascii="Arial" w:hAnsi="Arial"/>
          <w:b w:val="0"/>
          <w:color w:val="000000"/>
        </w:rPr>
        <w:t xml:space="preserve"> es un pad de espuma envuelto en lámina de grafito que puede utilizarse como </w:t>
      </w:r>
      <w:r>
        <w:rPr>
          <w:rFonts w:ascii="Arial" w:hAnsi="Arial"/>
          <w:b w:val="0"/>
          <w:color w:val="000000"/>
        </w:rPr>
        <w:lastRenderedPageBreak/>
        <w:t>interfaz termoconductor cuando el material de silicona no resulta adecuado o suficientemente estable y se requieren formas específicas. La característica  especial de los dispositivos WE-TGFG es que permiten evacuar el calor horizontalmente, por ejemplo, podrían substituir los tubos de cobre para transmisión de calor.</w:t>
      </w:r>
    </w:p>
    <w:p>
      <w:pPr>
        <w:pStyle w:val="Textkrper"/>
        <w:spacing w:before="120" w:after="120" w:line="260" w:lineRule="exact"/>
        <w:jc w:val="both"/>
        <w:rPr>
          <w:rFonts w:ascii="Arial" w:hAnsi="Arial"/>
          <w:b w:val="0"/>
          <w:bCs w:val="0"/>
        </w:rPr>
      </w:pPr>
      <w:r>
        <w:rPr>
          <w:rFonts w:ascii="Arial" w:hAnsi="Arial"/>
          <w:b w:val="0"/>
        </w:rPr>
        <w:t>«Se pueden encontrar productos similares de forma individual en otros proveedores, pero Würth Elektronik ofrece toda la gama de los mejores materiales de interfaz térmica, y esto se combina con el conocido servicio de Würth Elektronik que resulta sencillo y práctico para los diseñadores: asesoramiento, soporte y montaje personalizado», afirma Sebastián Mirasol-Menacho, responsable de Producto EMC Shielding &amp; Thermal Materials de Würth Elektronik eiSos.</w:t>
      </w: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spacing w:after="120" w:line="280" w:lineRule="exact"/>
        <w:rPr>
          <w:rFonts w:ascii="Arial" w:hAnsi="Arial" w:cs="Arial"/>
          <w:b/>
          <w:bCs/>
          <w:sz w:val="18"/>
          <w:szCs w:val="18"/>
        </w:rPr>
      </w:pPr>
      <w:r>
        <w:rPr>
          <w:rFonts w:ascii="Arial" w:hAnsi="Arial"/>
          <w:b/>
          <w:sz w:val="18"/>
        </w:rPr>
        <w:t>Imágenes disponibles</w:t>
      </w:r>
    </w:p>
    <w:p>
      <w:pPr>
        <w:spacing w:after="120" w:line="280" w:lineRule="exact"/>
        <w:rPr>
          <w:rStyle w:val="Hyperlink"/>
          <w:rFonts w:ascii="Arial" w:hAnsi="Arial"/>
          <w:sz w:val="18"/>
        </w:rPr>
      </w:pPr>
      <w:r>
        <w:rPr>
          <w:rFonts w:ascii="Arial" w:hAnsi="Arial"/>
          <w:sz w:val="18"/>
        </w:rPr>
        <w:t>Las siguientes imágenes se encuentran disponibles para impresión y descarga en:</w:t>
      </w:r>
      <w:r>
        <w:t xml:space="preserve"> </w:t>
      </w:r>
      <w:hyperlink r:id="rId12"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443"/>
      </w:tblGrid>
      <w:tr>
        <w:trPr>
          <w:trHeight w:val="1701"/>
        </w:trPr>
        <w:tc>
          <w:tcPr>
            <w:tcW w:w="3577" w:type="dxa"/>
          </w:tcPr>
          <w:p>
            <w:pPr>
              <w:pStyle w:val="txt"/>
              <w:rPr>
                <w:b/>
                <w:bCs/>
                <w:sz w:val="18"/>
              </w:rPr>
            </w:pPr>
            <w:r>
              <w:rPr>
                <w:b/>
              </w:rPr>
              <w:br/>
            </w:r>
            <w:r>
              <w:rPr>
                <w:noProof/>
                <w:lang w:val="de-DE"/>
              </w:rPr>
              <w:drawing>
                <wp:inline distT="0" distB="0" distL="0" distR="0">
                  <wp:extent cx="2095500" cy="1115695"/>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257"/>
                          <a:stretch/>
                        </pic:blipFill>
                        <pic:spPr bwMode="auto">
                          <a:xfrm>
                            <a:off x="0" y="0"/>
                            <a:ext cx="2096073" cy="1116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br/>
              <w:t xml:space="preserve">Fuente de la imagen: Würth Elektronik </w:t>
            </w:r>
          </w:p>
          <w:p>
            <w:pPr>
              <w:autoSpaceDE w:val="0"/>
              <w:autoSpaceDN w:val="0"/>
              <w:adjustRightInd w:val="0"/>
              <w:rPr>
                <w:rFonts w:ascii="Arial" w:hAnsi="Arial" w:cs="Arial"/>
                <w:b/>
                <w:sz w:val="18"/>
                <w:szCs w:val="18"/>
              </w:rPr>
            </w:pPr>
            <w:r>
              <w:rPr>
                <w:rFonts w:ascii="Arial" w:hAnsi="Arial"/>
                <w:b/>
                <w:sz w:val="18"/>
              </w:rPr>
              <w:t>Una aplicación de WE-TGFG: La energía disipada por el circuito integrado es conducida lateralmente a un disipador térmico por medio de la capa de grafito.</w:t>
            </w:r>
          </w:p>
          <w:p>
            <w:pPr>
              <w:autoSpaceDE w:val="0"/>
              <w:autoSpaceDN w:val="0"/>
              <w:adjustRightInd w:val="0"/>
              <w:rPr>
                <w:rFonts w:ascii="Arial" w:hAnsi="Arial" w:cs="Arial"/>
                <w:b/>
                <w:bCs/>
                <w:sz w:val="18"/>
                <w:szCs w:val="18"/>
              </w:rPr>
            </w:pPr>
          </w:p>
        </w:tc>
        <w:tc>
          <w:tcPr>
            <w:tcW w:w="3443" w:type="dxa"/>
          </w:tcPr>
          <w:p>
            <w:pPr>
              <w:pStyle w:val="txt"/>
              <w:jc w:val="center"/>
              <w:rPr>
                <w:bCs/>
                <w:sz w:val="16"/>
                <w:szCs w:val="16"/>
              </w:rPr>
            </w:pPr>
            <w:r>
              <w:rPr>
                <w:sz w:val="16"/>
              </w:rPr>
              <w:br/>
            </w:r>
            <w:r>
              <w:rPr>
                <w:noProof/>
                <w:lang w:val="de-DE"/>
              </w:rPr>
              <w:drawing>
                <wp:inline distT="0" distB="0" distL="0" distR="0">
                  <wp:extent cx="1400175" cy="1047750"/>
                  <wp:effectExtent l="0" t="0" r="9525" b="0"/>
                  <wp:docPr id="18" name="Grafik 9" descr="WE-TGF"/>
                  <wp:cNvGraphicFramePr/>
                  <a:graphic xmlns:a="http://schemas.openxmlformats.org/drawingml/2006/main">
                    <a:graphicData uri="http://schemas.openxmlformats.org/drawingml/2006/picture">
                      <pic:pic xmlns:pic="http://schemas.openxmlformats.org/drawingml/2006/picture">
                        <pic:nvPicPr>
                          <pic:cNvPr id="10" name="Grafik 9" descr="WE-TGF"/>
                          <pic:cNvPicPr/>
                        </pic:nvPicPr>
                        <pic:blipFill>
                          <a:blip r:embed="rId14" cstate="print">
                            <a:extLst>
                              <a:ext uri="{28A0092B-C50C-407E-A947-70E740481C1C}">
                                <a14:useLocalDpi xmlns:a14="http://schemas.microsoft.com/office/drawing/2010/main" val="0"/>
                              </a:ext>
                            </a:extLst>
                          </a:blip>
                          <a:srcRect l="14850" t="26865" r="14455" b="22705"/>
                          <a:stretch>
                            <a:fillRect/>
                          </a:stretch>
                        </pic:blipFill>
                        <pic:spPr bwMode="auto">
                          <a:xfrm>
                            <a:off x="0" y="0"/>
                            <a:ext cx="1400175" cy="1047750"/>
                          </a:xfrm>
                          <a:prstGeom prst="rect">
                            <a:avLst/>
                          </a:prstGeom>
                          <a:noFill/>
                          <a:ln>
                            <a:noFill/>
                          </a:ln>
                        </pic:spPr>
                      </pic:pic>
                    </a:graphicData>
                  </a:graphic>
                </wp:inline>
              </w:drawing>
            </w:r>
          </w:p>
          <w:p>
            <w:pPr>
              <w:pStyle w:val="txt"/>
              <w:rPr>
                <w:b/>
                <w:bCs/>
                <w:sz w:val="18"/>
              </w:rPr>
            </w:pPr>
            <w:r>
              <w:rPr>
                <w:sz w:val="16"/>
              </w:rPr>
              <w:t xml:space="preserve">Fuente de la imagen: Würth Elektronik </w:t>
            </w:r>
          </w:p>
          <w:p>
            <w:pPr>
              <w:autoSpaceDE w:val="0"/>
              <w:autoSpaceDN w:val="0"/>
              <w:adjustRightInd w:val="0"/>
              <w:rPr>
                <w:b/>
                <w:bCs/>
              </w:rPr>
            </w:pPr>
            <w:r>
              <w:rPr>
                <w:rFonts w:ascii="Arial" w:hAnsi="Arial"/>
                <w:b/>
                <w:sz w:val="18"/>
              </w:rPr>
              <w:t>Los acolchados de silicona WE-TGF minimizan los huecos y maximizan la disipación del calor.</w:t>
            </w:r>
            <w:r>
              <w:rPr>
                <w:rFonts w:ascii="Arial" w:hAnsi="Arial"/>
                <w:b/>
                <w:sz w:val="18"/>
              </w:rPr>
              <w:br/>
            </w:r>
          </w:p>
        </w:tc>
      </w:tr>
      <w:tr>
        <w:trPr>
          <w:gridAfter w:val="1"/>
          <w:wAfter w:w="3443" w:type="dxa"/>
          <w:trHeight w:val="1701"/>
        </w:trPr>
        <w:tc>
          <w:tcPr>
            <w:tcW w:w="3577" w:type="dxa"/>
          </w:tcPr>
          <w:p>
            <w:pPr>
              <w:pStyle w:val="txt"/>
              <w:rPr>
                <w:bCs/>
                <w:noProof/>
                <w:sz w:val="16"/>
                <w:szCs w:val="16"/>
                <w:lang w:eastAsia="en-GB"/>
              </w:rPr>
            </w:pPr>
          </w:p>
          <w:p>
            <w:pPr>
              <w:pStyle w:val="txt"/>
              <w:rPr>
                <w:b/>
                <w:bCs/>
                <w:sz w:val="18"/>
              </w:rPr>
            </w:pPr>
            <w:r>
              <w:rPr>
                <w:noProof/>
                <w:lang w:val="de-DE"/>
              </w:rPr>
              <w:drawing>
                <wp:inline distT="0" distB="0" distL="0" distR="0">
                  <wp:extent cx="1917065" cy="108966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7065" cy="1089660"/>
                          </a:xfrm>
                          <a:prstGeom prst="rect">
                            <a:avLst/>
                          </a:prstGeom>
                          <a:noFill/>
                          <a:ln>
                            <a:noFill/>
                          </a:ln>
                        </pic:spPr>
                      </pic:pic>
                    </a:graphicData>
                  </a:graphic>
                </wp:inline>
              </w:drawing>
            </w:r>
            <w:r>
              <w:rPr>
                <w:sz w:val="16"/>
              </w:rPr>
              <w:br/>
            </w:r>
            <w:r>
              <w:rPr>
                <w:sz w:val="16"/>
              </w:rPr>
              <w:br/>
              <w:t xml:space="preserve">Fuente de la imagen: Würth Elektronik </w:t>
            </w:r>
          </w:p>
          <w:p>
            <w:pPr>
              <w:autoSpaceDE w:val="0"/>
              <w:autoSpaceDN w:val="0"/>
              <w:adjustRightInd w:val="0"/>
              <w:rPr>
                <w:b/>
                <w:bCs/>
              </w:rPr>
            </w:pPr>
            <w:r>
              <w:rPr>
                <w:rFonts w:ascii="Arial" w:hAnsi="Arial"/>
                <w:b/>
                <w:sz w:val="18"/>
              </w:rPr>
              <w:t>Con el WE-TGFG también es posible realizar perfiles termoconductores personalizados.</w:t>
            </w:r>
            <w:r>
              <w:rPr>
                <w:rFonts w:ascii="Arial" w:hAnsi="Arial"/>
                <w:b/>
                <w:sz w:val="18"/>
              </w:rPr>
              <w:br/>
            </w:r>
          </w:p>
        </w:tc>
      </w:tr>
    </w:tbl>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jc w:val="both"/>
        <w:rPr>
          <w:rFonts w:ascii="Arial" w:hAnsi="Arial"/>
        </w:rPr>
      </w:pPr>
      <w:bookmarkStart w:id="4" w:name="_Hlk529547556"/>
      <w:bookmarkStart w:id="5" w:name="_Hlk530469551"/>
      <w:r>
        <w:rPr>
          <w:rFonts w:ascii="Arial" w:hAnsi="Arial"/>
        </w:rPr>
        <w:t xml:space="preserve">Acerca del Grupo Würth Elektronik eiSos </w:t>
      </w:r>
    </w:p>
    <w:bookmarkEnd w:id="4"/>
    <w:p>
      <w:pPr>
        <w:pStyle w:val="Textkrper"/>
        <w:spacing w:before="120" w:after="120" w:line="276" w:lineRule="auto"/>
        <w:jc w:val="both"/>
        <w:rPr>
          <w:rFonts w:ascii="Arial" w:hAnsi="Arial"/>
          <w:b w:val="0"/>
        </w:rPr>
      </w:pPr>
      <w:r>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pPr>
        <w:pStyle w:val="Textkrper"/>
        <w:spacing w:before="120" w:after="120" w:line="276" w:lineRule="auto"/>
        <w:jc w:val="both"/>
        <w:rPr>
          <w:rFonts w:ascii="Arial" w:hAnsi="Arial"/>
          <w:b w:val="0"/>
        </w:rPr>
      </w:pPr>
      <w:r>
        <w:rPr>
          <w:rFonts w:ascii="Arial" w:hAnsi="Arial"/>
          <w:b w:val="0"/>
        </w:rPr>
        <w:t>Würth Elektronik forma parte del Grupo Würth, líder del mercado mundial de la tecnología de montaje y fijación. La empresa emplea a 7300 trabajadores y generó una facturación de 823 millones de euros en 2020.</w:t>
      </w:r>
    </w:p>
    <w:p>
      <w:pPr>
        <w:pStyle w:val="Textkrper"/>
        <w:spacing w:before="120" w:after="120" w:line="276" w:lineRule="auto"/>
        <w:rPr>
          <w:rFonts w:ascii="Arial" w:hAnsi="Arial"/>
          <w:b w:val="0"/>
        </w:rPr>
      </w:pPr>
      <w:r>
        <w:rPr>
          <w:rFonts w:ascii="Arial" w:hAnsi="Arial"/>
          <w:b w:val="0"/>
        </w:rPr>
        <w:t>Würth Elektronik: more than you expect!</w:t>
      </w:r>
    </w:p>
    <w:p>
      <w:pPr>
        <w:pStyle w:val="Textkrper"/>
        <w:spacing w:before="120" w:after="120" w:line="276" w:lineRule="auto"/>
        <w:rPr>
          <w:rFonts w:ascii="Arial" w:hAnsi="Arial"/>
        </w:rPr>
      </w:pPr>
      <w:r>
        <w:rPr>
          <w:rFonts w:ascii="Arial" w:hAnsi="Arial"/>
        </w:rPr>
        <w:t>Más información en www.we-online.com</w:t>
      </w:r>
    </w:p>
    <w:p>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b w:val="0"/>
                <w:bCs w:val="0"/>
              </w:rPr>
              <w:br w:type="page"/>
            </w:r>
            <w:r>
              <w:rPr>
                <w:rFonts w:ascii="Arial" w:hAnsi="Arial"/>
              </w:rPr>
              <w:t>Más información:</w:t>
            </w:r>
          </w:p>
          <w:p>
            <w:pPr>
              <w:spacing w:before="120" w:after="120" w:line="276" w:lineRule="auto"/>
              <w:rPr>
                <w:rFonts w:ascii="Arial" w:hAnsi="Arial" w:cs="Arial"/>
                <w:sz w:val="20"/>
              </w:rPr>
            </w:pPr>
            <w:r>
              <w:rPr>
                <w:rFonts w:ascii="Arial" w:hAnsi="Arial"/>
                <w:sz w:val="20"/>
              </w:rPr>
              <w:t>Würth Elektronik eiSos GmbH &amp; Co. KG</w:t>
            </w:r>
            <w:r>
              <w:br/>
            </w:r>
            <w:r>
              <w:rPr>
                <w:rFonts w:ascii="Arial" w:hAnsi="Arial"/>
                <w:sz w:val="20"/>
              </w:rPr>
              <w:t>Sarah Hurst</w:t>
            </w:r>
            <w:r>
              <w:br/>
            </w:r>
            <w:r>
              <w:rPr>
                <w:rFonts w:ascii="Arial" w:hAnsi="Arial"/>
                <w:sz w:val="20"/>
              </w:rPr>
              <w:t>Max-Eyth-Strasse 1</w:t>
            </w:r>
            <w:r>
              <w:br/>
            </w:r>
            <w:r>
              <w:rPr>
                <w:rFonts w:ascii="Arial" w:hAnsi="Arial"/>
                <w:sz w:val="20"/>
              </w:rPr>
              <w:t>74638 Waldenburg</w:t>
            </w:r>
            <w:r>
              <w:rPr>
                <w:rFonts w:ascii="Arial" w:hAnsi="Arial"/>
                <w:sz w:val="20"/>
              </w:rPr>
              <w:br/>
              <w:t>Alemania</w:t>
            </w:r>
          </w:p>
          <w:p>
            <w:pPr>
              <w:spacing w:before="120" w:after="120" w:line="276" w:lineRule="auto"/>
              <w:rPr>
                <w:rFonts w:ascii="Arial" w:hAnsi="Arial" w:cs="Arial"/>
                <w:bCs/>
                <w:sz w:val="20"/>
              </w:rPr>
            </w:pPr>
            <w:r>
              <w:rPr>
                <w:rFonts w:ascii="Arial" w:hAnsi="Arial"/>
                <w:sz w:val="20"/>
              </w:rPr>
              <w:t>Tel.: +49 7942 945-5186</w:t>
            </w:r>
            <w:r>
              <w:br/>
            </w:r>
            <w:r>
              <w:rPr>
                <w:rFonts w:ascii="Arial" w:hAnsi="Arial"/>
                <w:sz w:val="20"/>
              </w:rPr>
              <w:t xml:space="preserve">Correo electrónico: </w:t>
            </w:r>
            <w:r>
              <w:rPr>
                <w:rFonts w:ascii="Arial" w:hAnsi="Arial"/>
                <w:sz w:val="20"/>
              </w:rPr>
              <w:br/>
              <w:t>sarah.hurst@we-online.de</w:t>
            </w:r>
          </w:p>
          <w:p>
            <w:pPr>
              <w:spacing w:before="120" w:after="120" w:line="276" w:lineRule="auto"/>
              <w:rPr>
                <w:rFonts w:ascii="Arial" w:hAnsi="Arial" w:cs="Arial"/>
                <w:bCs/>
                <w:sz w:val="20"/>
              </w:rPr>
            </w:pPr>
            <w:r>
              <w:rPr>
                <w:rFonts w:ascii="Arial" w:hAnsi="Arial"/>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pPr>
              <w:tabs>
                <w:tab w:val="left" w:pos="1065"/>
              </w:tabs>
              <w:spacing w:before="120" w:after="120" w:line="276" w:lineRule="auto"/>
              <w:rPr>
                <w:rFonts w:ascii="Arial" w:hAnsi="Arial" w:cs="Arial"/>
                <w:bCs/>
                <w:sz w:val="20"/>
              </w:rPr>
            </w:pPr>
            <w:r>
              <w:rPr>
                <w:rFonts w:ascii="Arial" w:hAnsi="Arial"/>
                <w:sz w:val="20"/>
              </w:rPr>
              <w:t>HighTech communications GmbH</w:t>
            </w:r>
            <w:r>
              <w:br/>
            </w:r>
            <w:r>
              <w:rPr>
                <w:rFonts w:ascii="Arial" w:hAnsi="Arial"/>
                <w:sz w:val="20"/>
              </w:rPr>
              <w:t>Brigitte Basilio</w:t>
            </w:r>
            <w:r>
              <w:br/>
            </w:r>
            <w:r>
              <w:rPr>
                <w:rFonts w:ascii="Arial" w:hAnsi="Arial"/>
                <w:sz w:val="20"/>
              </w:rPr>
              <w:t>Brunhamstrasse 21</w:t>
            </w:r>
            <w:r>
              <w:br/>
            </w:r>
            <w:r>
              <w:rPr>
                <w:rFonts w:ascii="Arial" w:hAnsi="Arial"/>
                <w:sz w:val="20"/>
              </w:rPr>
              <w:t>80339 München</w:t>
            </w:r>
            <w:r>
              <w:rPr>
                <w:rFonts w:ascii="Arial" w:hAnsi="Arial"/>
                <w:sz w:val="20"/>
              </w:rPr>
              <w:br/>
              <w:t>Alemania</w:t>
            </w:r>
          </w:p>
          <w:p>
            <w:pPr>
              <w:tabs>
                <w:tab w:val="left" w:pos="1065"/>
              </w:tabs>
              <w:spacing w:before="120" w:after="120" w:line="276" w:lineRule="auto"/>
              <w:rPr>
                <w:rFonts w:ascii="Arial" w:hAnsi="Arial" w:cs="Arial"/>
                <w:bCs/>
                <w:sz w:val="20"/>
              </w:rPr>
            </w:pPr>
            <w:r>
              <w:rPr>
                <w:rFonts w:ascii="Arial" w:hAnsi="Arial"/>
                <w:sz w:val="20"/>
              </w:rPr>
              <w:t>Tel.: +49 89 500778-20</w:t>
            </w:r>
            <w:r>
              <w:br/>
            </w:r>
            <w:r>
              <w:rPr>
                <w:rFonts w:ascii="Arial" w:hAnsi="Arial"/>
                <w:sz w:val="20"/>
              </w:rPr>
              <w:t xml:space="preserve">Fax: +49 89 500778-77 </w:t>
            </w:r>
            <w:r>
              <w:br/>
            </w:r>
            <w:r>
              <w:rPr>
                <w:rFonts w:ascii="Arial" w:hAnsi="Arial"/>
                <w:sz w:val="20"/>
              </w:rPr>
              <w:t>Correo electrónico: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bookmarkEnd w:id="5"/>
    </w:tbl>
    <w:p>
      <w:pPr>
        <w:pStyle w:val="Textkrper"/>
        <w:spacing w:before="120" w:after="120" w:line="276" w:lineRule="auto"/>
      </w:pPr>
    </w:p>
    <w:p>
      <w:pPr>
        <w:pStyle w:val="Textkrper"/>
        <w:spacing w:before="120" w:after="120" w:line="276" w:lineRule="auto"/>
      </w:pPr>
    </w:p>
    <w:p>
      <w:pPr>
        <w:pStyle w:val="Textkrper"/>
        <w:spacing w:before="120" w:after="120" w:line="260" w:lineRule="exact"/>
        <w:jc w:val="both"/>
        <w:rPr>
          <w:rFonts w:ascii="Arial" w:hAnsi="Arial"/>
          <w:b w:val="0"/>
          <w:bCs w:val="0"/>
        </w:rPr>
      </w:pPr>
    </w:p>
    <w:sectPr>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US"/>
      </w:rPr>
      <w:t>WTH1PI984.docx</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8240" behindDoc="1" locked="0" layoutInCell="0" allowOverlap="1">
          <wp:simplePos x="0" y="0"/>
          <wp:positionH relativeFrom="column">
            <wp:posOffset>4191000</wp:posOffset>
          </wp:positionH>
          <wp:positionV relativeFrom="paragraph">
            <wp:posOffset>114935</wp:posOffset>
          </wp:positionV>
          <wp:extent cx="1890000" cy="75600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440BA"/>
    <w:multiLevelType w:val="multilevel"/>
    <w:tmpl w:val="DC38CDF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THERMAL_WE-PC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THERMAL_WE-TGF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we-online.com/catalog/en/THERMAL_WE-TG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catalog/en/THERMAL_WE-TGF"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04125-44E6-4936-8650-B6501391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5467</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6294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2022-03-10T12:43:00Z</dcterms:created>
  <dcterms:modified xsi:type="dcterms:W3CDTF">2022-03-10T12:43:00Z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