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r>
        <w:rPr>
          <w:rFonts w:ascii="Arial" w:hAnsi="Arial"/>
          <w:b/>
          <w:bCs/>
        </w:rPr>
        <w:t>Würth Elektronik amplia notevolmente l'offerta di prodotti per la gestione del calore</w:t>
      </w:r>
    </w:p>
    <w:p>
      <w:pPr>
        <w:pStyle w:val="Kopfzeile"/>
        <w:tabs>
          <w:tab w:val="clear" w:pos="4536"/>
          <w:tab w:val="clear" w:pos="9072"/>
        </w:tabs>
        <w:spacing w:before="360" w:after="360"/>
        <w:rPr>
          <w:rFonts w:ascii="Arial" w:hAnsi="Arial" w:cs="Arial"/>
          <w:b/>
          <w:bCs/>
          <w:sz w:val="36"/>
        </w:rPr>
      </w:pPr>
      <w:r>
        <w:rPr>
          <w:rFonts w:ascii="Arial" w:hAnsi="Arial"/>
          <w:b/>
          <w:bCs/>
          <w:sz w:val="36"/>
        </w:rPr>
        <w:t>Condurre e distribuire calore</w:t>
      </w:r>
    </w:p>
    <w:p>
      <w:pPr>
        <w:pStyle w:val="Textkrper"/>
        <w:spacing w:before="120" w:after="120" w:line="260" w:lineRule="exact"/>
        <w:jc w:val="both"/>
        <w:rPr>
          <w:rFonts w:ascii="Arial" w:hAnsi="Arial"/>
        </w:rPr>
      </w:pPr>
      <w:proofErr w:type="spellStart"/>
      <w:r>
        <w:rPr>
          <w:rFonts w:ascii="Arial" w:hAnsi="Arial"/>
        </w:rPr>
        <w:t>Waldenburg</w:t>
      </w:r>
      <w:proofErr w:type="spellEnd"/>
      <w:r>
        <w:rPr>
          <w:rFonts w:ascii="Arial" w:hAnsi="Arial"/>
        </w:rPr>
        <w:t xml:space="preserve"> (Germania), 8 dicembre 2021 –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si afferma sempre più come one-stop-shop per </w:t>
      </w:r>
      <w:bookmarkStart w:id="1" w:name="_Hlk72238934"/>
      <w:r>
        <w:rPr>
          <w:rFonts w:ascii="Arial" w:hAnsi="Arial"/>
        </w:rPr>
        <w:t xml:space="preserve">materiali termici di interfaccia </w:t>
      </w:r>
      <w:bookmarkEnd w:id="1"/>
      <w:r>
        <w:rPr>
          <w:rFonts w:ascii="Arial" w:hAnsi="Arial"/>
        </w:rPr>
        <w:t>(TIM). Ne sono testimonianza gli ampliamenti della serie e i cinque gruppi di prodotti completamente nuovi, che ora offrono agli sviluppatori di elettronica una scelta ancora più ampia di soluzioni per il ponte termoconduttivo tra componenti e dissipatori di calore. Sono compresi anche materiali per la distribuzione del calore perduto su superfici di grandi dimensioni. Per tutti Würth Elektronik offre servizi supplementari come varie forme di confezionamento e consegne su misura per i clienti senza limite minimo d'ordine.</w:t>
      </w:r>
    </w:p>
    <w:p>
      <w:pPr>
        <w:pStyle w:val="Textkrper"/>
        <w:spacing w:before="120" w:after="120" w:line="260" w:lineRule="exact"/>
        <w:jc w:val="both"/>
        <w:rPr>
          <w:rFonts w:ascii="Arial" w:hAnsi="Arial"/>
          <w:b w:val="0"/>
          <w:bCs w:val="0"/>
        </w:rPr>
      </w:pPr>
      <w:r>
        <w:rPr>
          <w:rFonts w:ascii="Arial" w:hAnsi="Arial"/>
          <w:b w:val="0"/>
          <w:bCs w:val="0"/>
        </w:rPr>
        <w:t>Esistono diverse possibilità di dissipare calore a seconda dell'entità delle perdite di potenza e del tipo di layout e assemblaggio. Ma in tutti i casi la sfida è la stessa: bypassare o evitare uno spazio isolante tra il componente a temperature elevate e un dissipatore di calore o un alloggiamento con tale funzione. Per questo compito Würth Elektronik offre ora nuove soluzioni.</w:t>
      </w:r>
    </w:p>
    <w:p>
      <w:pPr>
        <w:pStyle w:val="Textkrper"/>
        <w:spacing w:before="120" w:after="120" w:line="260" w:lineRule="exact"/>
        <w:jc w:val="both"/>
        <w:rPr>
          <w:rFonts w:ascii="Arial" w:hAnsi="Arial"/>
        </w:rPr>
      </w:pPr>
      <w:r>
        <w:rPr>
          <w:rFonts w:ascii="Arial" w:hAnsi="Arial"/>
        </w:rPr>
        <w:t>Bypassare il gap d’aria</w:t>
      </w:r>
    </w:p>
    <w:bookmarkStart w:id="2" w:name="_Hlk77141053"/>
    <w:p>
      <w:pPr>
        <w:pStyle w:val="Textkrper"/>
        <w:spacing w:before="120" w:after="120" w:line="260" w:lineRule="exact"/>
        <w:jc w:val="both"/>
        <w:rPr>
          <w:rFonts w:ascii="Arial" w:hAnsi="Arial"/>
          <w:b w:val="0"/>
          <w:bCs w:val="0"/>
        </w:rPr>
      </w:pPr>
      <w:r>
        <w:rPr>
          <w:rFonts w:ascii="Arial" w:hAnsi="Arial"/>
          <w:b w:val="0"/>
          <w:bCs w:val="0"/>
          <w:color w:val="000000"/>
        </w:rPr>
        <w:fldChar w:fldCharType="begin"/>
      </w:r>
      <w:r>
        <w:rPr>
          <w:rFonts w:ascii="Arial" w:hAnsi="Arial"/>
          <w:b w:val="0"/>
          <w:bCs w:val="0"/>
          <w:color w:val="000000"/>
        </w:rPr>
        <w:instrText>HYPERLINK "https://www.we-online.com/catalog/en/THERMAL_WE-TTT"</w:instrText>
      </w:r>
      <w:r>
        <w:rPr>
          <w:rFonts w:ascii="Arial" w:hAnsi="Arial"/>
          <w:b w:val="0"/>
          <w:bCs w:val="0"/>
          <w:color w:val="000000"/>
        </w:rPr>
        <w:fldChar w:fldCharType="separate"/>
      </w:r>
      <w:r>
        <w:rPr>
          <w:rStyle w:val="Hyperlink"/>
          <w:rFonts w:ascii="Arial" w:hAnsi="Arial"/>
          <w:b w:val="0"/>
          <w:bCs w:val="0"/>
        </w:rPr>
        <w:t>WE-TTT</w:t>
      </w:r>
      <w:r>
        <w:rPr>
          <w:rFonts w:ascii="Arial" w:hAnsi="Arial"/>
          <w:b w:val="0"/>
          <w:bCs w:val="0"/>
          <w:color w:val="000000"/>
        </w:rPr>
        <w:fldChar w:fldCharType="end"/>
      </w:r>
      <w:r>
        <w:rPr>
          <w:rFonts w:ascii="Arial" w:hAnsi="Arial"/>
          <w:b w:val="0"/>
          <w:bCs w:val="0"/>
          <w:color w:val="000000"/>
        </w:rPr>
        <w:t xml:space="preserve"> </w:t>
      </w:r>
      <w:r>
        <w:rPr>
          <w:rFonts w:ascii="Arial" w:hAnsi="Arial"/>
          <w:b w:val="0"/>
          <w:bCs w:val="0"/>
        </w:rPr>
        <w:t>è un nastro a doppio strato adesivo termoconduttivo ed isolante elettricamente, utilizzabile con semiconduttori di potenza, processori grafici, serie di chip o schede di memoria. Grazie a particelle ceramiche nell'adesivo raggiunge una conducibilità termica di 1 </w:t>
      </w:r>
      <w:bookmarkStart w:id="3" w:name="_Hlk77140647"/>
      <w:r>
        <w:rPr>
          <w:rFonts w:ascii="Arial" w:hAnsi="Arial"/>
          <w:b w:val="0"/>
          <w:bCs w:val="0"/>
        </w:rPr>
        <w:t>W/(</w:t>
      </w:r>
      <w:proofErr w:type="spellStart"/>
      <w:r>
        <w:rPr>
          <w:rFonts w:ascii="Arial" w:hAnsi="Arial"/>
          <w:b w:val="0"/>
          <w:bCs w:val="0"/>
        </w:rPr>
        <w:t>m</w:t>
      </w:r>
      <w:r>
        <w:rPr>
          <w:rFonts w:ascii="Cambria Math" w:hAnsi="Cambria Math"/>
          <w:b w:val="0"/>
          <w:bCs w:val="0"/>
        </w:rPr>
        <w:t>⋅</w:t>
      </w:r>
      <w:r>
        <w:rPr>
          <w:rFonts w:ascii="Arial" w:hAnsi="Arial"/>
          <w:b w:val="0"/>
          <w:bCs w:val="0"/>
        </w:rPr>
        <w:t>K</w:t>
      </w:r>
      <w:proofErr w:type="spellEnd"/>
      <w:r>
        <w:rPr>
          <w:rFonts w:ascii="Arial" w:hAnsi="Arial"/>
          <w:b w:val="0"/>
          <w:bCs w:val="0"/>
        </w:rPr>
        <w:t>)</w:t>
      </w:r>
      <w:bookmarkEnd w:id="3"/>
      <w:r>
        <w:rPr>
          <w:rFonts w:ascii="Arial" w:hAnsi="Arial"/>
          <w:b w:val="0"/>
          <w:bCs w:val="0"/>
        </w:rPr>
        <w:t xml:space="preserve">. </w:t>
      </w:r>
      <w:bookmarkEnd w:id="2"/>
      <w:r>
        <w:rPr>
          <w:rFonts w:ascii="Arial" w:hAnsi="Arial"/>
          <w:b w:val="0"/>
          <w:bCs w:val="0"/>
          <w:color w:val="000000"/>
        </w:rPr>
        <w:fldChar w:fldCharType="begin"/>
      </w:r>
      <w:r>
        <w:rPr>
          <w:rFonts w:ascii="Arial" w:hAnsi="Arial"/>
          <w:b w:val="0"/>
          <w:bCs w:val="0"/>
          <w:color w:val="000000"/>
        </w:rPr>
        <w:instrText>HYPERLINK "https://www.we-online.com/catalog/en/THERMAL_WE-TINS"</w:instrText>
      </w:r>
      <w:r>
        <w:rPr>
          <w:rFonts w:ascii="Arial" w:hAnsi="Arial"/>
          <w:b w:val="0"/>
          <w:bCs w:val="0"/>
          <w:color w:val="000000"/>
        </w:rPr>
        <w:fldChar w:fldCharType="separate"/>
      </w:r>
      <w:r>
        <w:rPr>
          <w:rStyle w:val="Hyperlink"/>
          <w:rFonts w:ascii="Arial" w:hAnsi="Arial"/>
          <w:b w:val="0"/>
          <w:bCs w:val="0"/>
        </w:rPr>
        <w:t>WE-TINS</w:t>
      </w:r>
      <w:r>
        <w:rPr>
          <w:rFonts w:ascii="Arial" w:hAnsi="Arial"/>
          <w:b w:val="0"/>
          <w:bCs w:val="0"/>
          <w:color w:val="000000"/>
        </w:rPr>
        <w:fldChar w:fldCharType="end"/>
      </w:r>
      <w:r>
        <w:rPr>
          <w:rFonts w:ascii="Arial" w:hAnsi="Arial"/>
          <w:b w:val="0"/>
          <w:bCs w:val="0"/>
          <w:color w:val="000000"/>
        </w:rPr>
        <w:t xml:space="preserve"> </w:t>
      </w:r>
      <w:r>
        <w:rPr>
          <w:rFonts w:ascii="Arial" w:hAnsi="Arial"/>
          <w:b w:val="0"/>
          <w:bCs w:val="0"/>
        </w:rPr>
        <w:t>(</w:t>
      </w:r>
      <w:proofErr w:type="spellStart"/>
      <w:r>
        <w:rPr>
          <w:rFonts w:ascii="Arial" w:hAnsi="Arial"/>
          <w:b w:val="0"/>
          <w:bCs w:val="0"/>
          <w:u w:val="single"/>
        </w:rPr>
        <w:t>T</w:t>
      </w:r>
      <w:r>
        <w:rPr>
          <w:rFonts w:ascii="Arial" w:hAnsi="Arial"/>
          <w:b w:val="0"/>
          <w:bCs w:val="0"/>
        </w:rPr>
        <w:t>hermally</w:t>
      </w:r>
      <w:proofErr w:type="spellEnd"/>
      <w:r>
        <w:rPr>
          <w:rFonts w:ascii="Arial" w:hAnsi="Arial"/>
          <w:b w:val="0"/>
          <w:bCs w:val="0"/>
        </w:rPr>
        <w:t xml:space="preserve"> </w:t>
      </w:r>
      <w:proofErr w:type="spellStart"/>
      <w:r>
        <w:rPr>
          <w:rFonts w:ascii="Arial" w:hAnsi="Arial"/>
          <w:b w:val="0"/>
          <w:bCs w:val="0"/>
        </w:rPr>
        <w:t>Conductive</w:t>
      </w:r>
      <w:proofErr w:type="spellEnd"/>
      <w:r>
        <w:rPr>
          <w:rFonts w:ascii="Arial" w:hAnsi="Arial"/>
          <w:b w:val="0"/>
          <w:bCs w:val="0"/>
        </w:rPr>
        <w:t xml:space="preserve"> </w:t>
      </w:r>
      <w:proofErr w:type="spellStart"/>
      <w:r>
        <w:rPr>
          <w:rFonts w:ascii="Arial" w:hAnsi="Arial"/>
          <w:b w:val="0"/>
          <w:bCs w:val="0"/>
          <w:u w:val="single"/>
        </w:rPr>
        <w:t>Ins</w:t>
      </w:r>
      <w:r>
        <w:rPr>
          <w:rFonts w:ascii="Arial" w:hAnsi="Arial"/>
          <w:b w:val="0"/>
          <w:bCs w:val="0"/>
        </w:rPr>
        <w:t>ulator</w:t>
      </w:r>
      <w:proofErr w:type="spellEnd"/>
      <w:r>
        <w:rPr>
          <w:rFonts w:ascii="Arial" w:hAnsi="Arial"/>
          <w:b w:val="0"/>
          <w:bCs w:val="0"/>
        </w:rPr>
        <w:t xml:space="preserve"> Pad) è stato sviluppato per realizzare un'interfaccia termica tra transistori e gruppi di raffreddamento mantenendo l'isolamento elettrico. I pad vengono forniti personalizzati e si contraddistinguono per una resistenza elevata allo strappo ed alle lacerazioni.</w:t>
      </w:r>
    </w:p>
    <w:p>
      <w:pPr>
        <w:pStyle w:val="Textkrper"/>
        <w:spacing w:before="120" w:after="120" w:line="260" w:lineRule="exact"/>
        <w:jc w:val="both"/>
        <w:rPr>
          <w:rFonts w:ascii="Arial" w:hAnsi="Arial"/>
          <w:b w:val="0"/>
          <w:bCs w:val="0"/>
          <w:color w:val="000000"/>
        </w:rPr>
      </w:pPr>
      <w:hyperlink r:id="rId8" w:history="1">
        <w:r>
          <w:rPr>
            <w:rStyle w:val="Hyperlink"/>
            <w:rFonts w:ascii="Arial" w:hAnsi="Arial"/>
            <w:b w:val="0"/>
            <w:bCs w:val="0"/>
          </w:rPr>
          <w:t>WE-PCM</w:t>
        </w:r>
      </w:hyperlink>
      <w:r>
        <w:rPr>
          <w:rFonts w:ascii="Arial" w:hAnsi="Arial"/>
          <w:b w:val="0"/>
          <w:bCs w:val="0"/>
          <w:color w:val="000000"/>
        </w:rPr>
        <w:t xml:space="preserve"> </w:t>
      </w:r>
      <w:r>
        <w:rPr>
          <w:rFonts w:ascii="Arial" w:hAnsi="Arial"/>
          <w:b w:val="0"/>
          <w:bCs w:val="0"/>
        </w:rPr>
        <w:t xml:space="preserve">(Phase Changing Material) rappresenta un'alternativa di facile applicazione alla pasta termica. La pellicola si liquefa sotto effetto del calore per compensare perfettamente irregolarità sulle superfici di contatto che potrebbero dare vita ad uno spazio isolante. Quando si tratta di spazi di dimensioni maggiori si è dimostrato efficace il </w:t>
      </w:r>
      <w:hyperlink r:id="rId9" w:history="1">
        <w:r>
          <w:rPr>
            <w:rStyle w:val="Hyperlink"/>
            <w:rFonts w:ascii="Arial" w:hAnsi="Arial"/>
            <w:b w:val="0"/>
            <w:bCs w:val="0"/>
          </w:rPr>
          <w:t>WE-TGF</w:t>
        </w:r>
      </w:hyperlink>
      <w:r>
        <w:rPr>
          <w:rFonts w:ascii="Arial" w:hAnsi="Arial"/>
          <w:b w:val="0"/>
          <w:bCs w:val="0"/>
          <w:color w:val="000000"/>
        </w:rPr>
        <w:t>. Würth Elektronik ha introdotto ulteriori versioni di questo materiale riempitivo in silicone a base ceramica in grado di raggiungere 10 W/(</w:t>
      </w:r>
      <w:proofErr w:type="spellStart"/>
      <w:r>
        <w:rPr>
          <w:rFonts w:ascii="Arial" w:hAnsi="Arial"/>
          <w:b w:val="0"/>
          <w:bCs w:val="0"/>
          <w:color w:val="000000"/>
        </w:rPr>
        <w:t>m</w:t>
      </w:r>
      <w:r>
        <w:rPr>
          <w:rFonts w:ascii="Cambria Math" w:hAnsi="Cambria Math"/>
          <w:b w:val="0"/>
          <w:bCs w:val="0"/>
          <w:color w:val="000000"/>
        </w:rPr>
        <w:t>⋅</w:t>
      </w:r>
      <w:r>
        <w:rPr>
          <w:rFonts w:ascii="Arial" w:hAnsi="Arial"/>
          <w:b w:val="0"/>
          <w:bCs w:val="0"/>
          <w:color w:val="000000"/>
        </w:rPr>
        <w:t>K</w:t>
      </w:r>
      <w:proofErr w:type="spellEnd"/>
      <w:r>
        <w:rPr>
          <w:rFonts w:ascii="Arial" w:hAnsi="Arial"/>
          <w:b w:val="0"/>
          <w:bCs w:val="0"/>
          <w:color w:val="000000"/>
        </w:rPr>
        <w:t>).</w:t>
      </w:r>
    </w:p>
    <w:p>
      <w:pPr>
        <w:pStyle w:val="Textkrper"/>
        <w:spacing w:before="120" w:after="120" w:line="260" w:lineRule="exact"/>
        <w:jc w:val="both"/>
        <w:rPr>
          <w:rFonts w:ascii="Arial" w:hAnsi="Arial"/>
          <w:color w:val="000000"/>
        </w:rPr>
      </w:pPr>
      <w:r>
        <w:rPr>
          <w:rFonts w:ascii="Arial" w:hAnsi="Arial"/>
          <w:color w:val="000000"/>
        </w:rPr>
        <w:t xml:space="preserve">Aumento della superficie </w:t>
      </w:r>
      <w:r>
        <w:rPr>
          <w:rFonts w:ascii="Arial" w:hAnsi="Arial"/>
        </w:rPr>
        <w:t>di dissipazione</w:t>
      </w:r>
    </w:p>
    <w:p>
      <w:pPr>
        <w:pStyle w:val="Textkrper"/>
        <w:spacing w:before="120" w:after="120" w:line="260" w:lineRule="exact"/>
        <w:jc w:val="both"/>
        <w:rPr>
          <w:rFonts w:ascii="Arial" w:hAnsi="Arial"/>
          <w:b w:val="0"/>
          <w:bCs w:val="0"/>
        </w:rPr>
      </w:pPr>
      <w:r>
        <w:rPr>
          <w:rFonts w:ascii="Arial" w:hAnsi="Arial"/>
          <w:b w:val="0"/>
          <w:bCs w:val="0"/>
          <w:color w:val="000000"/>
        </w:rPr>
        <w:t>Una conducibilità termica eccellente, fino a 1800 W/(</w:t>
      </w:r>
      <w:proofErr w:type="spellStart"/>
      <w:r>
        <w:rPr>
          <w:rFonts w:ascii="Arial" w:hAnsi="Arial"/>
          <w:b w:val="0"/>
          <w:bCs w:val="0"/>
          <w:color w:val="000000"/>
        </w:rPr>
        <w:t>m</w:t>
      </w:r>
      <w:r>
        <w:rPr>
          <w:rFonts w:ascii="Cambria Math" w:hAnsi="Cambria Math"/>
          <w:b w:val="0"/>
          <w:bCs w:val="0"/>
          <w:color w:val="000000"/>
        </w:rPr>
        <w:t>⋅</w:t>
      </w:r>
      <w:r>
        <w:rPr>
          <w:rFonts w:ascii="Arial" w:hAnsi="Arial"/>
          <w:b w:val="0"/>
          <w:bCs w:val="0"/>
          <w:color w:val="000000"/>
        </w:rPr>
        <w:t>K</w:t>
      </w:r>
      <w:proofErr w:type="spellEnd"/>
      <w:r>
        <w:rPr>
          <w:rFonts w:ascii="Arial" w:hAnsi="Arial"/>
          <w:b w:val="0"/>
          <w:bCs w:val="0"/>
          <w:color w:val="000000"/>
        </w:rPr>
        <w:t>) nell'asse orizzontale, viene ottenuta dalla pellicola in</w:t>
      </w:r>
      <w:r>
        <w:rPr>
          <w:rFonts w:ascii="Arial" w:hAnsi="Arial"/>
          <w:b w:val="0"/>
          <w:bCs w:val="0"/>
        </w:rPr>
        <w:t xml:space="preserve"> grafite </w:t>
      </w:r>
      <w:hyperlink r:id="rId10" w:history="1">
        <w:r>
          <w:rPr>
            <w:rStyle w:val="Hyperlink"/>
            <w:rFonts w:ascii="Arial" w:hAnsi="Arial"/>
            <w:b w:val="0"/>
            <w:bCs w:val="0"/>
          </w:rPr>
          <w:t>WE-TGS</w:t>
        </w:r>
      </w:hyperlink>
      <w:r>
        <w:rPr>
          <w:rFonts w:ascii="Arial" w:hAnsi="Arial"/>
          <w:b w:val="0"/>
          <w:bCs w:val="0"/>
          <w:color w:val="000000"/>
        </w:rPr>
        <w:t xml:space="preserve">. </w:t>
      </w:r>
      <w:r>
        <w:rPr>
          <w:rFonts w:ascii="Arial" w:hAnsi="Arial"/>
          <w:b w:val="0"/>
          <w:bCs w:val="0"/>
        </w:rPr>
        <w:t xml:space="preserve">Una variante </w:t>
      </w:r>
      <w:r>
        <w:rPr>
          <w:rFonts w:ascii="Arial" w:hAnsi="Arial"/>
          <w:b w:val="0"/>
          <w:bCs w:val="0"/>
          <w:color w:val="000000"/>
        </w:rPr>
        <w:t>particolare è rappresentata</w:t>
      </w:r>
      <w:r>
        <w:rPr>
          <w:rFonts w:ascii="Arial" w:hAnsi="Arial"/>
          <w:b w:val="0"/>
          <w:bCs w:val="0"/>
        </w:rPr>
        <w:t xml:space="preserve"> dai </w:t>
      </w:r>
      <w:hyperlink r:id="rId11" w:history="1">
        <w:r>
          <w:rPr>
            <w:rStyle w:val="Hyperlink"/>
            <w:rFonts w:ascii="Arial" w:hAnsi="Arial"/>
            <w:b w:val="0"/>
            <w:bCs w:val="0"/>
          </w:rPr>
          <w:t>WE-TGFG</w:t>
        </w:r>
      </w:hyperlink>
      <w:r>
        <w:rPr>
          <w:rFonts w:ascii="Arial" w:hAnsi="Arial"/>
          <w:b w:val="0"/>
          <w:bCs w:val="0"/>
          <w:color w:val="000000"/>
        </w:rPr>
        <w:t xml:space="preserve">, ovvero </w:t>
      </w:r>
      <w:r>
        <w:rPr>
          <w:rFonts w:ascii="Arial" w:hAnsi="Arial"/>
          <w:b w:val="0"/>
          <w:bCs w:val="0"/>
        </w:rPr>
        <w:t xml:space="preserve">dei pad di schiuma (foam) avvolti da dei </w:t>
      </w:r>
      <w:r>
        <w:rPr>
          <w:rFonts w:ascii="Arial" w:hAnsi="Arial"/>
          <w:b w:val="0"/>
          <w:bCs w:val="0"/>
        </w:rPr>
        <w:lastRenderedPageBreak/>
        <w:t xml:space="preserve">fogli di grafite, i quali possono fungere </w:t>
      </w:r>
      <w:r>
        <w:rPr>
          <w:rFonts w:ascii="Arial" w:hAnsi="Arial"/>
          <w:b w:val="0"/>
          <w:bCs w:val="0"/>
          <w:color w:val="000000"/>
        </w:rPr>
        <w:t>da materiale di riempimento termoconduttivo dove il materiale in silicone non è adatto oppure sono necessarie forme personalizzate semirigide. Il top: con corpi di WE-TGFG è possibile dissipare il calore anche lateralmente, una funzione che altrimenti richiederebbe heat pipes in rame.</w:t>
      </w:r>
    </w:p>
    <w:p>
      <w:pPr>
        <w:pStyle w:val="Textkrper"/>
        <w:spacing w:before="120" w:after="120" w:line="260" w:lineRule="exact"/>
        <w:jc w:val="both"/>
        <w:rPr>
          <w:rFonts w:ascii="Arial" w:hAnsi="Arial"/>
          <w:b w:val="0"/>
          <w:bCs w:val="0"/>
        </w:rPr>
      </w:pPr>
      <w:r>
        <w:rPr>
          <w:rFonts w:ascii="Arial" w:hAnsi="Arial"/>
          <w:b w:val="0"/>
          <w:bCs w:val="0"/>
        </w:rPr>
        <w:t xml:space="preserve">"Nonostante sia possibile trovare prodotti simili singolarmente presso altri fornitori, solo Würth Elektronik offre la gamma completa dei migliori materiali per interfaccia termica, combinata con la nota assistenza Würth Elektronik per gli sviluppatori: consulenza personalizzata, supporto e confezionamento", afferma </w:t>
      </w:r>
      <w:proofErr w:type="spellStart"/>
      <w:r>
        <w:rPr>
          <w:rFonts w:ascii="Arial" w:hAnsi="Arial"/>
          <w:b w:val="0"/>
          <w:bCs w:val="0"/>
        </w:rPr>
        <w:t>Sebastián</w:t>
      </w:r>
      <w:proofErr w:type="spellEnd"/>
      <w:r>
        <w:rPr>
          <w:rFonts w:ascii="Arial" w:hAnsi="Arial"/>
          <w:b w:val="0"/>
          <w:bCs w:val="0"/>
        </w:rPr>
        <w:t xml:space="preserve"> </w:t>
      </w:r>
      <w:proofErr w:type="spellStart"/>
      <w:r>
        <w:rPr>
          <w:rFonts w:ascii="Arial" w:hAnsi="Arial"/>
          <w:b w:val="0"/>
          <w:bCs w:val="0"/>
        </w:rPr>
        <w:t>Mirasol-Menacho</w:t>
      </w:r>
      <w:proofErr w:type="spellEnd"/>
      <w:r>
        <w:rPr>
          <w:rFonts w:ascii="Arial" w:hAnsi="Arial"/>
          <w:b w:val="0"/>
          <w:bCs w:val="0"/>
        </w:rPr>
        <w:t>, Product Manager EMC Shielding &amp; Thermal Materials presso Würth Elektronik eiSos.</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Immagini disponibili</w:t>
      </w:r>
    </w:p>
    <w:p>
      <w:pPr>
        <w:spacing w:after="120" w:line="280" w:lineRule="exact"/>
        <w:rPr>
          <w:b/>
          <w:sz w:val="18"/>
          <w:szCs w:val="18"/>
        </w:rPr>
      </w:pPr>
      <w:r>
        <w:rPr>
          <w:rFonts w:ascii="Arial" w:hAnsi="Arial"/>
          <w:sz w:val="18"/>
        </w:rPr>
        <w:t>Le seguenti immagini possono essere scaricate da internet e stampate:</w:t>
      </w:r>
      <w:r>
        <w:t xml:space="preserve"> </w:t>
      </w:r>
      <w:hyperlink r:id="rId12"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trPr>
          <w:trHeight w:val="1701"/>
        </w:trPr>
        <w:tc>
          <w:tcPr>
            <w:tcW w:w="3577" w:type="dxa"/>
          </w:tcPr>
          <w:p>
            <w:pPr>
              <w:pStyle w:val="txt"/>
              <w:rPr>
                <w:b/>
                <w:bCs/>
                <w:color w:val="auto"/>
                <w:sz w:val="18"/>
              </w:rPr>
            </w:pPr>
            <w:r>
              <w:rPr>
                <w:b/>
                <w:color w:val="auto"/>
              </w:rPr>
              <w:br/>
            </w:r>
            <w:r>
              <w:rPr>
                <w:noProof/>
                <w:color w:val="auto"/>
                <w:lang w:val="de-DE"/>
              </w:rPr>
              <w:drawing>
                <wp:inline distT="0" distB="0" distL="0" distR="0">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Pr>
                <w:b/>
                <w:bCs/>
                <w:color w:val="auto"/>
                <w:sz w:val="18"/>
              </w:rPr>
              <w:br/>
            </w:r>
            <w:r>
              <w:rPr>
                <w:bCs/>
                <w:color w:val="auto"/>
                <w:sz w:val="16"/>
                <w:szCs w:val="16"/>
              </w:rPr>
              <w:br/>
              <w:t xml:space="preserve">Foto di: Würth Elektronik </w:t>
            </w:r>
          </w:p>
          <w:p>
            <w:pPr>
              <w:autoSpaceDE w:val="0"/>
              <w:autoSpaceDN w:val="0"/>
              <w:adjustRightInd w:val="0"/>
              <w:rPr>
                <w:rFonts w:ascii="Arial" w:hAnsi="Arial" w:cs="Arial"/>
                <w:b/>
                <w:sz w:val="18"/>
                <w:szCs w:val="18"/>
              </w:rPr>
            </w:pPr>
            <w:r>
              <w:rPr>
                <w:rFonts w:ascii="Arial" w:hAnsi="Arial"/>
                <w:b/>
                <w:sz w:val="18"/>
                <w:szCs w:val="18"/>
              </w:rPr>
              <w:t>Un'applicazione del WE-TGFG: la potenza dissipata dal circuito integrato viene condotta lateralmente dal gasket in grafite, verso al dissipatore di calore.</w:t>
            </w:r>
          </w:p>
          <w:p>
            <w:pPr>
              <w:autoSpaceDE w:val="0"/>
              <w:autoSpaceDN w:val="0"/>
              <w:adjustRightInd w:val="0"/>
              <w:rPr>
                <w:rFonts w:ascii="Arial" w:hAnsi="Arial" w:cs="Arial"/>
                <w:b/>
                <w:bCs/>
                <w:sz w:val="18"/>
                <w:szCs w:val="18"/>
              </w:rPr>
            </w:pPr>
          </w:p>
        </w:tc>
        <w:tc>
          <w:tcPr>
            <w:tcW w:w="3443" w:type="dxa"/>
          </w:tcPr>
          <w:p>
            <w:pPr>
              <w:pStyle w:val="txt"/>
              <w:jc w:val="center"/>
              <w:rPr>
                <w:bCs/>
                <w:color w:val="auto"/>
                <w:sz w:val="16"/>
                <w:szCs w:val="16"/>
              </w:rPr>
            </w:pPr>
            <w:r>
              <w:rPr>
                <w:bCs/>
                <w:color w:val="auto"/>
                <w:sz w:val="16"/>
                <w:szCs w:val="16"/>
              </w:rPr>
              <w:br/>
            </w:r>
            <w:r>
              <w:rPr>
                <w:noProof/>
                <w:color w:val="auto"/>
                <w:lang w:val="de-DE"/>
              </w:rPr>
              <w:drawing>
                <wp:inline distT="0" distB="0" distL="0" distR="0">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4"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pPr>
              <w:pStyle w:val="txt"/>
              <w:rPr>
                <w:b/>
                <w:bCs/>
                <w:color w:val="auto"/>
                <w:sz w:val="18"/>
              </w:rPr>
            </w:pPr>
            <w:r>
              <w:rPr>
                <w:bCs/>
                <w:color w:val="auto"/>
                <w:sz w:val="16"/>
                <w:szCs w:val="16"/>
              </w:rPr>
              <w:t xml:space="preserve">Foto di: Würth Elektronik </w:t>
            </w:r>
          </w:p>
          <w:p>
            <w:pPr>
              <w:autoSpaceDE w:val="0"/>
              <w:autoSpaceDN w:val="0"/>
              <w:adjustRightInd w:val="0"/>
              <w:rPr>
                <w:b/>
                <w:bCs/>
              </w:rPr>
            </w:pPr>
            <w:r>
              <w:rPr>
                <w:rFonts w:ascii="Arial" w:hAnsi="Arial"/>
                <w:b/>
                <w:sz w:val="18"/>
                <w:szCs w:val="18"/>
              </w:rPr>
              <w:t>Con il pad in silicone WE-TGF vengono chiusi i gap d’aria consentendo al calore di defluire.</w:t>
            </w:r>
            <w:r>
              <w:rPr>
                <w:rFonts w:ascii="Arial" w:hAnsi="Arial"/>
                <w:b/>
                <w:sz w:val="18"/>
                <w:szCs w:val="18"/>
              </w:rPr>
              <w:br/>
            </w:r>
          </w:p>
        </w:tc>
      </w:tr>
    </w:tbl>
    <w:p>
      <w:pPr>
        <w:pStyle w:val="PITextkrper"/>
        <w:rPr>
          <w:b/>
          <w:bCs/>
          <w:sz w:val="18"/>
          <w:szCs w:val="18"/>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trPr>
          <w:trHeight w:val="1701"/>
        </w:trPr>
        <w:tc>
          <w:tcPr>
            <w:tcW w:w="3577" w:type="dxa"/>
          </w:tcPr>
          <w:p>
            <w:pPr>
              <w:pStyle w:val="txt"/>
              <w:rPr>
                <w:bCs/>
                <w:noProof/>
                <w:sz w:val="16"/>
                <w:szCs w:val="16"/>
                <w:lang w:eastAsia="en-GB"/>
              </w:rPr>
            </w:pPr>
          </w:p>
          <w:p>
            <w:pPr>
              <w:pStyle w:val="txt"/>
              <w:rPr>
                <w:b/>
                <w:bCs/>
                <w:sz w:val="18"/>
              </w:rPr>
            </w:pPr>
            <w:r>
              <w:rPr>
                <w:noProof/>
                <w:lang w:val="de-DE"/>
              </w:rPr>
              <w:drawing>
                <wp:inline distT="0" distB="0" distL="0" distR="0">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bCs/>
                <w:sz w:val="16"/>
                <w:szCs w:val="16"/>
              </w:rPr>
              <w:br/>
            </w:r>
            <w:r>
              <w:rPr>
                <w:bCs/>
                <w:sz w:val="16"/>
                <w:szCs w:val="16"/>
              </w:rPr>
              <w:br/>
              <w:t xml:space="preserve">Foto di: Würth Elektronik </w:t>
            </w:r>
          </w:p>
          <w:p>
            <w:pPr>
              <w:autoSpaceDE w:val="0"/>
              <w:autoSpaceDN w:val="0"/>
              <w:adjustRightInd w:val="0"/>
              <w:rPr>
                <w:rFonts w:ascii="Arial" w:hAnsi="Arial" w:cs="Arial"/>
                <w:b/>
                <w:sz w:val="18"/>
                <w:szCs w:val="18"/>
              </w:rPr>
            </w:pPr>
            <w:r>
              <w:rPr>
                <w:rFonts w:ascii="Arial" w:hAnsi="Arial"/>
                <w:b/>
                <w:sz w:val="18"/>
                <w:szCs w:val="18"/>
              </w:rPr>
              <w:t xml:space="preserve">Con il WE-TGFG è inoltre possibile realizzare interfacce termoconduttive per superfici di contatto non planari </w:t>
            </w:r>
          </w:p>
          <w:p>
            <w:pPr>
              <w:autoSpaceDE w:val="0"/>
              <w:autoSpaceDN w:val="0"/>
              <w:adjustRightInd w:val="0"/>
              <w:rPr>
                <w:b/>
                <w:bCs/>
              </w:rPr>
            </w:pP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bookmarkStart w:id="4"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4"/>
    <w:p>
      <w:pPr>
        <w:pStyle w:val="Textkrper"/>
        <w:spacing w:before="120" w:after="120" w:line="276" w:lineRule="auto"/>
        <w:jc w:val="both"/>
        <w:rPr>
          <w:rFonts w:ascii="Arial" w:hAnsi="Arial"/>
          <w:b w:val="0"/>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produttore di componenti elettronici ed elettromeccanici per il settore dell'elettronica e lo sviluppo delle tecnologie per soluzioni elettroniche orientate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lang w:val="en-US"/>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bookmarkStart w:id="5" w:name="_Hlk39740582"/>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7300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2020 ha </w:t>
      </w:r>
      <w:proofErr w:type="spellStart"/>
      <w:r>
        <w:rPr>
          <w:rFonts w:ascii="Arial" w:hAnsi="Arial"/>
          <w:b w:val="0"/>
          <w:lang w:val="en-US"/>
        </w:rPr>
        <w:t>registrato</w:t>
      </w:r>
      <w:proofErr w:type="spellEnd"/>
      <w:r>
        <w:rPr>
          <w:rFonts w:ascii="Arial" w:hAnsi="Arial"/>
          <w:b w:val="0"/>
          <w:lang w:val="en-US"/>
        </w:rPr>
        <w:t xml:space="preserve"> un </w:t>
      </w:r>
      <w:proofErr w:type="spellStart"/>
      <w:r>
        <w:rPr>
          <w:rFonts w:ascii="Arial" w:hAnsi="Arial"/>
          <w:b w:val="0"/>
          <w:lang w:val="en-US"/>
        </w:rPr>
        <w:t>fatturato</w:t>
      </w:r>
      <w:proofErr w:type="spellEnd"/>
      <w:r>
        <w:rPr>
          <w:rFonts w:ascii="Arial" w:hAnsi="Arial"/>
          <w:b w:val="0"/>
          <w:lang w:val="en-US"/>
        </w:rPr>
        <w:t xml:space="preserve"> di 823 </w:t>
      </w:r>
      <w:proofErr w:type="spellStart"/>
      <w:r>
        <w:rPr>
          <w:rFonts w:ascii="Arial" w:hAnsi="Arial"/>
          <w:b w:val="0"/>
          <w:lang w:val="en-US"/>
        </w:rPr>
        <w:t>milioni</w:t>
      </w:r>
      <w:proofErr w:type="spellEnd"/>
      <w:r>
        <w:rPr>
          <w:rFonts w:ascii="Arial" w:hAnsi="Arial"/>
          <w:b w:val="0"/>
          <w:lang w:val="en-US"/>
        </w:rPr>
        <w:t xml:space="preserve"> di Euro.</w:t>
      </w:r>
    </w:p>
    <w:bookmarkEnd w:id="5"/>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r>
        <w:rPr>
          <w:rFonts w:ascii="Arial" w:hAnsi="Arial"/>
          <w:lang w:val="en-US"/>
        </w:rPr>
        <w:t>il</w:t>
      </w:r>
      <w:proofErr w:type="spell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cs="Arial"/>
                <w:sz w:val="20"/>
                <w:lang w:val="en-US"/>
              </w:rPr>
              <w:br/>
            </w:r>
            <w:r>
              <w:rPr>
                <w:rFonts w:ascii="Arial" w:hAnsi="Arial"/>
                <w:sz w:val="20"/>
                <w:lang w:val="en-US"/>
              </w:rPr>
              <w:t>Sarah Hurst</w:t>
            </w:r>
            <w:r>
              <w:rPr>
                <w:rFonts w:ascii="Arial" w:hAnsi="Arial" w:cs="Arial"/>
                <w:sz w:val="20"/>
                <w:lang w:val="en-US"/>
              </w:rPr>
              <w:br/>
            </w:r>
            <w:r>
              <w:rPr>
                <w:rFonts w:ascii="Arial" w:hAnsi="Arial"/>
                <w:sz w:val="20"/>
                <w:lang w:val="en-US"/>
              </w:rP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cs="Arial"/>
                <w:sz w:val="20"/>
                <w:lang w:val="en-US"/>
              </w:rPr>
              <w:br/>
            </w:r>
            <w:r>
              <w:rPr>
                <w:rFonts w:ascii="Arial" w:hAnsi="Arial"/>
                <w:sz w:val="20"/>
                <w:lang w:val="en-US"/>
              </w:rPr>
              <w:t xml:space="preserve">74638 </w:t>
            </w:r>
            <w:proofErr w:type="spellStart"/>
            <w:r>
              <w:rPr>
                <w:rFonts w:ascii="Arial" w:hAnsi="Arial"/>
                <w:sz w:val="20"/>
                <w:lang w:val="en-US"/>
              </w:rPr>
              <w:t>Waldenburg</w:t>
            </w:r>
            <w:proofErr w:type="spellEnd"/>
            <w:r>
              <w:rPr>
                <w:rFonts w:ascii="Arial" w:hAnsi="Arial"/>
                <w:sz w:val="20"/>
                <w:lang w:val="en-US"/>
              </w:rPr>
              <w:br/>
              <w:t>Germania</w:t>
            </w:r>
          </w:p>
          <w:p>
            <w:pPr>
              <w:spacing w:before="120" w:after="120" w:line="276" w:lineRule="auto"/>
              <w:rPr>
                <w:rFonts w:ascii="Arial" w:hAnsi="Arial" w:cs="Arial"/>
                <w:bCs/>
                <w:sz w:val="20"/>
                <w:lang w:val="en-US"/>
              </w:rPr>
            </w:pPr>
            <w:proofErr w:type="spellStart"/>
            <w:r>
              <w:rPr>
                <w:rFonts w:ascii="Arial" w:hAnsi="Arial"/>
                <w:sz w:val="20"/>
                <w:lang w:val="en-US"/>
              </w:rPr>
              <w:t>Telefono</w:t>
            </w:r>
            <w:proofErr w:type="spellEnd"/>
            <w:r>
              <w:rPr>
                <w:rFonts w:ascii="Arial" w:hAnsi="Arial"/>
                <w:sz w:val="20"/>
                <w:lang w:val="en-US"/>
              </w:rPr>
              <w:t>: +49 7942 945-5186</w:t>
            </w:r>
            <w:r>
              <w:rPr>
                <w:rFonts w:ascii="Arial" w:hAnsi="Arial" w:cs="Arial"/>
                <w:sz w:val="20"/>
                <w:lang w:val="en-US"/>
              </w:rPr>
              <w:br/>
            </w:r>
            <w:r>
              <w:rPr>
                <w:rFonts w:ascii="Arial" w:hAnsi="Arial"/>
                <w:sz w:val="20"/>
                <w:lang w:val="en-US"/>
              </w:rPr>
              <w:t>E-Mail: sarah.hurst@we-online.de</w:t>
            </w:r>
          </w:p>
          <w:p>
            <w:pPr>
              <w:spacing w:before="120" w:after="120" w:line="276" w:lineRule="auto"/>
              <w:rPr>
                <w:rFonts w:ascii="Arial" w:hAnsi="Arial" w:cs="Arial"/>
                <w:bCs/>
                <w:sz w:val="20"/>
              </w:rPr>
            </w:pPr>
            <w:r>
              <w:rPr>
                <w:rFonts w:ascii="Arial" w:hAnsi="Arial"/>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WTH1PI984.docx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8240" behindDoc="0" locked="0" layoutInCell="0" allowOverlap="1">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THERMAL_WE-PC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THERMAL_WE-TGF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com/catalog/en/THERMAL_WE-T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catalog/en/THERMAL_WE-TG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34BF-0C2F-4021-BA54-E0D111DF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5564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6358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2022-03-10T12:43:00Z</dcterms:created>
  <dcterms:modified xsi:type="dcterms:W3CDTF">2022-03-10T12:43:00Z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