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A0F7" w14:textId="77777777" w:rsidR="00D87F52" w:rsidRDefault="001B78AC">
      <w:pPr>
        <w:pStyle w:val="berschrift1"/>
        <w:spacing w:before="720" w:after="720" w:line="260" w:lineRule="exact"/>
        <w:rPr>
          <w:sz w:val="20"/>
          <w:lang w:bidi="it-IT"/>
        </w:rPr>
      </w:pPr>
      <w:r>
        <w:rPr>
          <w:sz w:val="20"/>
          <w:lang w:bidi="it-IT"/>
        </w:rPr>
        <w:t>MEDIENINFORMATION</w:t>
      </w:r>
    </w:p>
    <w:p w14:paraId="4CDD15C5" w14:textId="77777777" w:rsidR="00D87F52" w:rsidRDefault="001B78AC">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SMT-Power-Induktivität WE-HEPC vor</w:t>
      </w:r>
    </w:p>
    <w:p w14:paraId="589911F0" w14:textId="77777777" w:rsidR="00D87F52" w:rsidRDefault="001B78AC">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Höchster Sättigungsstrom auf kleinstem Raum</w:t>
      </w:r>
    </w:p>
    <w:p w14:paraId="03520932" w14:textId="67336034" w:rsidR="00D87F52" w:rsidRDefault="001B78A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BC5C3E">
        <w:rPr>
          <w:rFonts w:ascii="Arial" w:hAnsi="Arial"/>
          <w:color w:val="000000"/>
        </w:rPr>
        <w:t>26. Juni</w:t>
      </w:r>
      <w:r>
        <w:rPr>
          <w:rFonts w:ascii="Arial" w:hAnsi="Arial"/>
          <w:color w:val="000000"/>
        </w:rPr>
        <w:t xml:space="preserve"> 2023 – Mit </w:t>
      </w:r>
      <w:hyperlink r:id="rId8" w:history="1">
        <w:r>
          <w:rPr>
            <w:rStyle w:val="Hyperlink"/>
            <w:rFonts w:ascii="Arial" w:hAnsi="Arial"/>
          </w:rPr>
          <w:t>WE-HEPC</w:t>
        </w:r>
      </w:hyperlink>
      <w:r>
        <w:rPr>
          <w:rFonts w:ascii="Arial" w:hAnsi="Arial"/>
          <w:color w:val="000000"/>
        </w:rPr>
        <w:t xml:space="preserve"> präsentiert Würth Elektronik ihre bisher kompakteste magnetisch geschirmte Leistungsinduktivität auf </w:t>
      </w:r>
      <w:proofErr w:type="spellStart"/>
      <w:r>
        <w:rPr>
          <w:rFonts w:ascii="Arial" w:hAnsi="Arial"/>
          <w:color w:val="000000"/>
        </w:rPr>
        <w:t>NiZn</w:t>
      </w:r>
      <w:proofErr w:type="spellEnd"/>
      <w:r>
        <w:rPr>
          <w:rFonts w:ascii="Arial" w:hAnsi="Arial"/>
          <w:color w:val="000000"/>
        </w:rPr>
        <w:t xml:space="preserve"> Ferrit Basis. Das Produkt ist durch einen neuen komplett automatisierten Herstellungsprozess von einer sehr hohen gleichbleibenden Qualität und weist einen höheren Sättigungsstrom auf als bisherige eigene oder bekannte konkurrierende Produkte. Es sind insgesamt 15 Modelle verschiedener Werte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in den Bauformen 5030 (4,8 x 4,8 x 1,8 mm) und 6030 (5,9 x 5,9 x 2,85 mm) verfügbar.</w:t>
      </w:r>
    </w:p>
    <w:p w14:paraId="7D3770F1" w14:textId="77777777" w:rsidR="00D87F52" w:rsidRDefault="001B78AC">
      <w:pPr>
        <w:pStyle w:val="Textkrper"/>
        <w:spacing w:before="120" w:after="120" w:line="260" w:lineRule="exact"/>
        <w:jc w:val="both"/>
        <w:rPr>
          <w:rFonts w:ascii="Arial" w:hAnsi="Arial"/>
          <w:b w:val="0"/>
          <w:bCs w:val="0"/>
        </w:rPr>
      </w:pPr>
      <w:r>
        <w:rPr>
          <w:rFonts w:ascii="Arial" w:hAnsi="Arial"/>
          <w:b w:val="0"/>
          <w:bCs w:val="0"/>
          <w:color w:val="000000"/>
        </w:rPr>
        <w:t xml:space="preserve">WE-HEPC eignet sich für DC/DC-Wandler, Filteranwendungen, Embedded Computer und andere Anwendungen in kompakten Designs. Der Betrieb ist im Bereich von -40°C bis +125°C und dank </w:t>
      </w:r>
      <w:r>
        <w:rPr>
          <w:rFonts w:ascii="Arial" w:hAnsi="Arial"/>
          <w:b w:val="0"/>
          <w:bCs w:val="0"/>
        </w:rPr>
        <w:t>AEC Q-200 Grade 1-Qualifizierung auch in Automobilanwendungen</w:t>
      </w:r>
      <w:r>
        <w:rPr>
          <w:rFonts w:ascii="Arial" w:hAnsi="Arial"/>
          <w:b w:val="0"/>
          <w:bCs w:val="0"/>
          <w:color w:val="000000"/>
        </w:rPr>
        <w:t xml:space="preserve"> möglich. Würth Elektronik hat darauf geachtet, dass das </w:t>
      </w:r>
      <w:r>
        <w:rPr>
          <w:rFonts w:ascii="Arial" w:hAnsi="Arial"/>
          <w:b w:val="0"/>
          <w:bCs w:val="0"/>
        </w:rPr>
        <w:t>Landpattern kompatibel zu den älteren Induktivitäten WE-SPC, WE-TPC ist, so dass Kunden eine maximale Flexibilität für das Design ihrer Applikation haben.</w:t>
      </w:r>
    </w:p>
    <w:p w14:paraId="52F4CD15" w14:textId="77777777" w:rsidR="00D87F52" w:rsidRDefault="001B78AC">
      <w:pPr>
        <w:pStyle w:val="Textkrper"/>
        <w:spacing w:before="120" w:after="120" w:line="260" w:lineRule="exact"/>
        <w:jc w:val="both"/>
        <w:rPr>
          <w:rFonts w:ascii="Arial" w:hAnsi="Arial"/>
          <w:b w:val="0"/>
          <w:bCs w:val="0"/>
        </w:rPr>
      </w:pPr>
      <w:r>
        <w:rPr>
          <w:rFonts w:ascii="Arial" w:hAnsi="Arial"/>
          <w:b w:val="0"/>
          <w:bCs w:val="0"/>
        </w:rPr>
        <w:t xml:space="preserve">WE-HEPC ist, wie alle Produkte des Katalogs </w:t>
      </w:r>
      <w:hyperlink r:id="rId9" w:history="1">
        <w:r>
          <w:rPr>
            <w:rStyle w:val="Hyperlink"/>
            <w:rFonts w:ascii="Arial" w:hAnsi="Arial"/>
            <w:b w:val="0"/>
            <w:bCs w:val="0"/>
          </w:rPr>
          <w:t>Electronic Components 2022/2023</w:t>
        </w:r>
      </w:hyperlink>
      <w:r>
        <w:rPr>
          <w:rFonts w:ascii="Arial" w:hAnsi="Arial"/>
          <w:b w:val="0"/>
          <w:bCs w:val="0"/>
        </w:rPr>
        <w:t>, ab sofort in beliebigen Stückzahlen ab Lager verfügbar. Entwickler erhalten auf Anfrage kostenlose Muster.</w:t>
      </w:r>
    </w:p>
    <w:p w14:paraId="146C6F08" w14:textId="77777777" w:rsidR="00D87F52" w:rsidRDefault="00D87F52">
      <w:pPr>
        <w:pStyle w:val="Textkrper"/>
        <w:spacing w:before="120" w:after="120" w:line="260" w:lineRule="exact"/>
        <w:jc w:val="both"/>
        <w:rPr>
          <w:rFonts w:ascii="Arial" w:hAnsi="Arial"/>
          <w:b w:val="0"/>
          <w:bCs w:val="0"/>
        </w:rPr>
      </w:pPr>
    </w:p>
    <w:p w14:paraId="1EEC3590" w14:textId="77777777" w:rsidR="00D87F52" w:rsidRDefault="00D87F52">
      <w:pPr>
        <w:pStyle w:val="Textkrper"/>
        <w:spacing w:before="120" w:after="120" w:line="260" w:lineRule="exact"/>
        <w:jc w:val="both"/>
        <w:rPr>
          <w:rFonts w:ascii="Arial" w:hAnsi="Arial"/>
          <w:b w:val="0"/>
          <w:bCs w:val="0"/>
        </w:rPr>
      </w:pPr>
    </w:p>
    <w:p w14:paraId="66CF9CDE" w14:textId="77777777" w:rsidR="00D87F52" w:rsidRDefault="00D87F52">
      <w:pPr>
        <w:pStyle w:val="PITextkrper"/>
        <w:pBdr>
          <w:top w:val="single" w:sz="4" w:space="1" w:color="auto"/>
        </w:pBdr>
        <w:spacing w:before="240"/>
        <w:rPr>
          <w:b/>
          <w:sz w:val="18"/>
          <w:szCs w:val="18"/>
          <w:lang w:val="de-DE"/>
        </w:rPr>
      </w:pPr>
    </w:p>
    <w:p w14:paraId="45C1DC65" w14:textId="77777777" w:rsidR="00D87F52" w:rsidRDefault="001B78AC">
      <w:pPr>
        <w:spacing w:after="120" w:line="280" w:lineRule="exact"/>
        <w:rPr>
          <w:rFonts w:ascii="Arial" w:hAnsi="Arial" w:cs="Arial"/>
          <w:b/>
          <w:bCs/>
          <w:sz w:val="18"/>
          <w:szCs w:val="18"/>
        </w:rPr>
      </w:pPr>
      <w:r>
        <w:rPr>
          <w:rFonts w:ascii="Arial" w:hAnsi="Arial" w:cs="Arial"/>
          <w:b/>
          <w:bCs/>
          <w:sz w:val="18"/>
          <w:szCs w:val="18"/>
        </w:rPr>
        <w:t>Verfügbares Bildmaterial</w:t>
      </w:r>
    </w:p>
    <w:p w14:paraId="3930F02D" w14:textId="77777777" w:rsidR="00D87F52" w:rsidRDefault="001B78AC">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257AADE4" w14:textId="77777777" w:rsidR="00D87F52" w:rsidRDefault="001B78AC">
      <w:pPr>
        <w:rPr>
          <w:rStyle w:val="Hyperlink"/>
          <w:rFonts w:ascii="Arial" w:hAnsi="Arial" w:cs="Arial"/>
          <w:sz w:val="18"/>
          <w:szCs w:val="18"/>
        </w:rPr>
      </w:pPr>
      <w:r>
        <w:rPr>
          <w:rStyle w:val="Hyperlink"/>
          <w:rFonts w:ascii="Arial" w:hAnsi="Arial" w:cs="Arial"/>
          <w:sz w:val="18"/>
          <w:szCs w:val="18"/>
        </w:rPr>
        <w:br w:type="page"/>
      </w:r>
    </w:p>
    <w:p w14:paraId="6E6DB880" w14:textId="77777777" w:rsidR="00D87F52" w:rsidRDefault="00D87F52"/>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87F52" w14:paraId="279B831D" w14:textId="77777777">
        <w:trPr>
          <w:trHeight w:val="1701"/>
        </w:trPr>
        <w:tc>
          <w:tcPr>
            <w:tcW w:w="3510" w:type="dxa"/>
          </w:tcPr>
          <w:p w14:paraId="024BFAF1" w14:textId="77777777" w:rsidR="00D87F52" w:rsidRDefault="001B78AC">
            <w:pPr>
              <w:pStyle w:val="txt"/>
              <w:rPr>
                <w:b/>
                <w:bCs/>
                <w:sz w:val="18"/>
              </w:rPr>
            </w:pPr>
            <w:r>
              <w:br/>
            </w:r>
            <w:r>
              <w:rPr>
                <w:noProof/>
              </w:rPr>
              <w:drawing>
                <wp:inline distT="0" distB="0" distL="0" distR="0" wp14:anchorId="170B0678" wp14:editId="1D03E790">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bCs/>
                <w:sz w:val="16"/>
                <w:szCs w:val="16"/>
              </w:rPr>
              <w:t xml:space="preserve">Bildquelle: Würth Elektronik </w:t>
            </w:r>
          </w:p>
          <w:p w14:paraId="37E6AD84" w14:textId="77777777" w:rsidR="00D87F52" w:rsidRDefault="001B78AC">
            <w:pPr>
              <w:autoSpaceDE w:val="0"/>
              <w:autoSpaceDN w:val="0"/>
              <w:adjustRightInd w:val="0"/>
              <w:rPr>
                <w:rFonts w:ascii="Arial" w:hAnsi="Arial" w:cs="Arial"/>
                <w:b/>
                <w:bCs/>
                <w:sz w:val="18"/>
                <w:szCs w:val="18"/>
              </w:rPr>
            </w:pPr>
            <w:r>
              <w:rPr>
                <w:rFonts w:ascii="Arial" w:hAnsi="Arial" w:cs="Arial"/>
                <w:b/>
                <w:sz w:val="18"/>
                <w:szCs w:val="18"/>
              </w:rPr>
              <w:t>Die SMT-Power-Induktivität WE-HEPC von Würth Elektronik zeichnet sich durch hohe Sättigungsstromwerte aus.</w:t>
            </w:r>
            <w:r>
              <w:rPr>
                <w:rFonts w:ascii="Arial" w:hAnsi="Arial" w:cs="Arial"/>
                <w:b/>
                <w:sz w:val="18"/>
                <w:szCs w:val="18"/>
              </w:rPr>
              <w:br/>
              <w:t xml:space="preserve"> </w:t>
            </w:r>
          </w:p>
        </w:tc>
      </w:tr>
    </w:tbl>
    <w:p w14:paraId="1401B812" w14:textId="77777777" w:rsidR="00D87F52" w:rsidRDefault="00D87F52">
      <w:pPr>
        <w:pStyle w:val="Textkrper"/>
        <w:spacing w:before="120" w:after="120" w:line="260" w:lineRule="exact"/>
        <w:jc w:val="both"/>
        <w:rPr>
          <w:rFonts w:ascii="Arial" w:hAnsi="Arial"/>
          <w:b w:val="0"/>
          <w:bCs w:val="0"/>
        </w:rPr>
      </w:pPr>
    </w:p>
    <w:p w14:paraId="1E7985A9" w14:textId="77777777" w:rsidR="00FE66FE" w:rsidRPr="00080F03" w:rsidRDefault="00FE66FE" w:rsidP="00FE66FE">
      <w:pPr>
        <w:pStyle w:val="Textkrper"/>
        <w:spacing w:before="120" w:after="120" w:line="260" w:lineRule="exact"/>
        <w:jc w:val="both"/>
        <w:rPr>
          <w:rFonts w:ascii="Arial" w:hAnsi="Arial"/>
          <w:b w:val="0"/>
          <w:bCs w:val="0"/>
        </w:rPr>
      </w:pPr>
    </w:p>
    <w:p w14:paraId="370976D1" w14:textId="77777777" w:rsidR="00FE66FE" w:rsidRPr="00080F03" w:rsidRDefault="00FE66FE" w:rsidP="00FE66FE">
      <w:pPr>
        <w:pStyle w:val="PITextkrper"/>
        <w:pBdr>
          <w:top w:val="single" w:sz="4" w:space="1" w:color="auto"/>
        </w:pBdr>
        <w:spacing w:before="240"/>
        <w:rPr>
          <w:b/>
          <w:sz w:val="18"/>
          <w:szCs w:val="18"/>
          <w:lang w:val="de-DE"/>
        </w:rPr>
      </w:pPr>
    </w:p>
    <w:p w14:paraId="01200247" w14:textId="77777777" w:rsidR="00FE66FE" w:rsidRPr="00080F03" w:rsidRDefault="00FE66FE" w:rsidP="00FE66FE">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440402CF"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8EC8EB2"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62B439D" w14:textId="77777777" w:rsidR="00FE66FE" w:rsidRPr="00080F03" w:rsidRDefault="00FE66FE" w:rsidP="00FE66FE">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4CDCF07" w14:textId="77777777" w:rsidR="00FE66FE" w:rsidRPr="008E6771" w:rsidRDefault="00FE66FE" w:rsidP="00FE66FE">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768C1615" w14:textId="77777777" w:rsidR="00FE66FE" w:rsidRPr="00080F03" w:rsidRDefault="00FE66FE" w:rsidP="00FE66FE">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7381BF6" w14:textId="77777777" w:rsidR="00FE66FE" w:rsidRPr="00080F03" w:rsidRDefault="00FE66FE" w:rsidP="00FE66FE">
      <w:pPr>
        <w:pStyle w:val="Textkrper"/>
        <w:spacing w:before="120" w:after="120" w:line="276" w:lineRule="auto"/>
        <w:rPr>
          <w:rFonts w:ascii="Arial" w:hAnsi="Arial"/>
        </w:rPr>
      </w:pPr>
      <w:r w:rsidRPr="00080F03">
        <w:rPr>
          <w:rFonts w:ascii="Arial" w:hAnsi="Arial"/>
        </w:rPr>
        <w:t>Weitere Informationen unter www.we-online.com</w:t>
      </w:r>
    </w:p>
    <w:p w14:paraId="3E95A1C8" w14:textId="77777777" w:rsidR="00FE66FE" w:rsidRPr="00080F03" w:rsidRDefault="00FE66FE" w:rsidP="00FE66F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E66FE" w:rsidRPr="00080F03" w14:paraId="622D092C" w14:textId="77777777" w:rsidTr="00EC6B5E">
        <w:tc>
          <w:tcPr>
            <w:tcW w:w="3902" w:type="dxa"/>
            <w:hideMark/>
          </w:tcPr>
          <w:p w14:paraId="0D6C416A" w14:textId="77777777" w:rsidR="00FE66FE" w:rsidRPr="00080F03" w:rsidRDefault="00FE66FE" w:rsidP="00EC6B5E">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0D162520" w14:textId="77777777" w:rsidR="00FE66FE" w:rsidRPr="00080F03" w:rsidRDefault="00FE66FE" w:rsidP="00EC6B5E">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259AF725" w14:textId="77777777" w:rsidR="00FE66FE" w:rsidRPr="00080F03" w:rsidRDefault="00FE66FE" w:rsidP="00EC6B5E">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5081AF6" w14:textId="77777777" w:rsidR="00FE66FE" w:rsidRPr="00080F03" w:rsidRDefault="00FE66FE" w:rsidP="00EC6B5E">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2FF2502" w14:textId="77777777" w:rsidR="00FE66FE" w:rsidRPr="00080F03" w:rsidRDefault="00FE66FE" w:rsidP="00EC6B5E">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713BAF2A"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9BBDE9D"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5757E65B" w14:textId="77777777" w:rsidR="00FE66FE" w:rsidRPr="00080F03" w:rsidRDefault="00FE66FE" w:rsidP="00EC6B5E">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4C5CE33" w14:textId="77777777" w:rsidR="00FE66FE" w:rsidRPr="00080F03" w:rsidRDefault="00FE66FE" w:rsidP="00FE66FE">
      <w:pPr>
        <w:pStyle w:val="Textkrper"/>
        <w:spacing w:before="120" w:after="120" w:line="260" w:lineRule="exact"/>
      </w:pPr>
    </w:p>
    <w:p w14:paraId="638465F9" w14:textId="77777777" w:rsidR="00FE66FE" w:rsidRPr="00080F03" w:rsidRDefault="00FE66FE" w:rsidP="00FE66FE">
      <w:pPr>
        <w:pStyle w:val="Textkrper"/>
        <w:spacing w:before="120" w:after="120" w:line="260" w:lineRule="exact"/>
        <w:jc w:val="both"/>
        <w:rPr>
          <w:rFonts w:asciiTheme="minorHAnsi" w:hAnsiTheme="minorHAnsi" w:cstheme="minorHAnsi"/>
          <w:sz w:val="22"/>
          <w:szCs w:val="22"/>
        </w:rPr>
      </w:pPr>
    </w:p>
    <w:p w14:paraId="63322D91" w14:textId="77777777" w:rsidR="00D87F52" w:rsidRDefault="00D87F52" w:rsidP="00FE66FE">
      <w:pPr>
        <w:pStyle w:val="Textkrper"/>
        <w:spacing w:before="120" w:after="120" w:line="260" w:lineRule="exact"/>
        <w:jc w:val="both"/>
      </w:pPr>
    </w:p>
    <w:sectPr w:rsidR="00D87F5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6D91" w14:textId="77777777" w:rsidR="00D87F52" w:rsidRDefault="001B78AC">
      <w:r>
        <w:separator/>
      </w:r>
    </w:p>
  </w:endnote>
  <w:endnote w:type="continuationSeparator" w:id="0">
    <w:p w14:paraId="640C6F31" w14:textId="77777777" w:rsidR="00D87F52" w:rsidRDefault="001B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4CE3" w14:textId="5B446DC2" w:rsidR="00D87F52" w:rsidRDefault="001B78AC">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01666F">
      <w:rPr>
        <w:rFonts w:ascii="Arial" w:hAnsi="Arial" w:cs="Arial"/>
        <w:noProof/>
        <w:snapToGrid w:val="0"/>
        <w:sz w:val="16"/>
        <w:szCs w:val="16"/>
        <w:lang w:val="en-US"/>
      </w:rPr>
      <w:t>WTH1PI1178.docx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3B1B" w14:textId="77777777" w:rsidR="00D87F52" w:rsidRDefault="001B78AC">
      <w:r>
        <w:separator/>
      </w:r>
    </w:p>
  </w:footnote>
  <w:footnote w:type="continuationSeparator" w:id="0">
    <w:p w14:paraId="47887957" w14:textId="77777777" w:rsidR="00D87F52" w:rsidRDefault="001B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32E9" w14:textId="77777777" w:rsidR="00D87F52" w:rsidRDefault="001B78AC">
    <w:pPr>
      <w:pStyle w:val="Kopfzeile"/>
      <w:tabs>
        <w:tab w:val="clear" w:pos="9072"/>
        <w:tab w:val="right" w:pos="9498"/>
      </w:tabs>
    </w:pPr>
    <w:r>
      <w:rPr>
        <w:noProof/>
      </w:rPr>
      <w:drawing>
        <wp:anchor distT="0" distB="0" distL="114300" distR="114300" simplePos="0" relativeHeight="251657728" behindDoc="1" locked="0" layoutInCell="0" allowOverlap="1" wp14:anchorId="57A1FC67" wp14:editId="7C5CD92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82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2"/>
    <w:rsid w:val="0001666F"/>
    <w:rsid w:val="001B78AC"/>
    <w:rsid w:val="005C2E45"/>
    <w:rsid w:val="00BC5C3E"/>
    <w:rsid w:val="00D87F52"/>
    <w:rsid w:val="00FE6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B53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HEP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B343-2D11-48D0-A8CA-6F83BB5C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3186</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2023-06-21T11:02:00Z</dcterms:created>
  <dcterms:modified xsi:type="dcterms:W3CDTF">2023-06-26T07:45:00Z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