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5BA9A7" w14:textId="77777777" w:rsidR="008913F7" w:rsidRDefault="008913F7">
      <w:pPr>
        <w:pStyle w:val="berschrift1"/>
        <w:spacing w:before="720" w:after="720" w:line="260" w:lineRule="exact"/>
      </w:pPr>
      <w:r>
        <w:rPr>
          <w:sz w:val="20"/>
        </w:rPr>
        <w:t>COMUNICADO DE PRENSA</w:t>
      </w:r>
    </w:p>
    <w:p w14:paraId="62882463" w14:textId="77777777" w:rsidR="008913F7" w:rsidRDefault="008913F7">
      <w:pPr>
        <w:pStyle w:val="Kopfzeile"/>
        <w:tabs>
          <w:tab w:val="clear" w:pos="4536"/>
          <w:tab w:val="clear" w:pos="9072"/>
        </w:tabs>
        <w:spacing w:before="120" w:after="120" w:line="360" w:lineRule="exact"/>
        <w:rPr>
          <w:rFonts w:ascii="Arial" w:hAnsi="Arial"/>
          <w:b/>
          <w:color w:val="000000"/>
          <w:sz w:val="36"/>
        </w:rPr>
      </w:pPr>
      <w:r>
        <w:rPr>
          <w:rFonts w:ascii="Arial" w:hAnsi="Arial"/>
          <w:b/>
        </w:rPr>
        <w:t>Interfaz inteligente de suministro eléctrico y carga</w:t>
      </w:r>
    </w:p>
    <w:p w14:paraId="1BE8D710" w14:textId="77777777" w:rsidR="008913F7" w:rsidRDefault="008913F7">
      <w:pPr>
        <w:pStyle w:val="Kopfzeile"/>
        <w:tabs>
          <w:tab w:val="clear" w:pos="4536"/>
          <w:tab w:val="clear" w:pos="9072"/>
        </w:tabs>
        <w:spacing w:before="360" w:after="360"/>
        <w:rPr>
          <w:rFonts w:ascii="Arial" w:hAnsi="Arial"/>
          <w:color w:val="000000"/>
        </w:rPr>
      </w:pPr>
      <w:r>
        <w:rPr>
          <w:rFonts w:ascii="Arial" w:hAnsi="Arial"/>
          <w:b/>
          <w:color w:val="000000"/>
          <w:sz w:val="36"/>
        </w:rPr>
        <w:t>Alimentación USB conforme a la norma de la UE</w:t>
      </w:r>
    </w:p>
    <w:p w14:paraId="4E8F4645" w14:textId="77777777" w:rsidR="008913F7" w:rsidRDefault="008913F7">
      <w:pPr>
        <w:pStyle w:val="Textkrper"/>
        <w:spacing w:before="120" w:after="120" w:line="260" w:lineRule="exact"/>
        <w:jc w:val="both"/>
        <w:rPr>
          <w:rFonts w:ascii="Arial" w:hAnsi="Arial"/>
          <w:b w:val="0"/>
        </w:rPr>
      </w:pPr>
      <w:r>
        <w:rPr>
          <w:rFonts w:ascii="Arial" w:hAnsi="Arial"/>
          <w:color w:val="000000"/>
        </w:rPr>
        <w:t xml:space="preserve">Waldenburg (Alemania), </w:t>
      </w:r>
      <w:r w:rsidR="003159D5" w:rsidRPr="003159D5">
        <w:rPr>
          <w:rFonts w:ascii="Arial" w:hAnsi="Arial"/>
          <w:color w:val="000000"/>
        </w:rPr>
        <w:t>16 de octubre de</w:t>
      </w:r>
      <w:r>
        <w:rPr>
          <w:rFonts w:ascii="Arial" w:hAnsi="Arial"/>
          <w:color w:val="000000"/>
        </w:rPr>
        <w:t xml:space="preserve"> 2024 – Würth Elektronik presenta su nuevo conector hembra USB</w:t>
      </w:r>
      <w:r w:rsidR="00316A3B">
        <w:rPr>
          <w:rFonts w:ascii="Arial" w:hAnsi="Arial"/>
          <w:color w:val="000000"/>
        </w:rPr>
        <w:t xml:space="preserve"> </w:t>
      </w:r>
      <w:hyperlink r:id="rId7" w:history="1">
        <w:r>
          <w:rPr>
            <w:rStyle w:val="Hyperlink"/>
            <w:rFonts w:ascii="Arial" w:hAnsi="Arial"/>
          </w:rPr>
          <w:t>WR-COM USB 3.1 PD Type C – Power Only SMT</w:t>
        </w:r>
      </w:hyperlink>
      <w:r>
        <w:rPr>
          <w:rFonts w:ascii="Arial" w:hAnsi="Arial"/>
          <w:color w:val="000000"/>
        </w:rPr>
        <w:t xml:space="preserve"> justo a tiempo para la normalización de la interfaz de la UE. Está previsto exclusivamente para la alimentación eléctrica y es compatible con el protocolo de comunicación USB Power Delivery (USB-PD) para la carga adaptativa con hasta 240</w:t>
      </w:r>
      <w:r w:rsidR="00EA7371">
        <w:rPr>
          <w:rFonts w:ascii="Arial" w:hAnsi="Arial"/>
          <w:color w:val="000000"/>
        </w:rPr>
        <w:t> </w:t>
      </w:r>
      <w:r>
        <w:rPr>
          <w:rFonts w:ascii="Arial" w:hAnsi="Arial"/>
          <w:color w:val="000000"/>
        </w:rPr>
        <w:t>vatios.</w:t>
      </w:r>
    </w:p>
    <w:p w14:paraId="6987AD84" w14:textId="77777777" w:rsidR="008913F7" w:rsidRDefault="008913F7">
      <w:pPr>
        <w:pStyle w:val="Textkrper"/>
        <w:spacing w:before="120" w:after="120" w:line="260" w:lineRule="exact"/>
        <w:jc w:val="both"/>
        <w:rPr>
          <w:rFonts w:ascii="Arial" w:hAnsi="Arial"/>
          <w:b w:val="0"/>
        </w:rPr>
      </w:pPr>
      <w:r>
        <w:rPr>
          <w:rFonts w:ascii="Arial" w:hAnsi="Arial"/>
          <w:b w:val="0"/>
        </w:rPr>
        <w:t>A finales de 2024 se pondrá fin a la proliferación de cargadores para pequeños dispositivos electrónicos. La UE exigirá el uso obligatorio de conectores USB-C y del estándar USB Power Delivery.</w:t>
      </w:r>
    </w:p>
    <w:p w14:paraId="151882BD" w14:textId="77777777" w:rsidR="008913F7" w:rsidRDefault="008913F7">
      <w:pPr>
        <w:pStyle w:val="Textkrper"/>
        <w:spacing w:before="120" w:after="120" w:line="260" w:lineRule="exact"/>
        <w:jc w:val="both"/>
        <w:rPr>
          <w:rFonts w:ascii="Arial" w:hAnsi="Arial"/>
        </w:rPr>
      </w:pPr>
      <w:r>
        <w:rPr>
          <w:rFonts w:ascii="Arial" w:hAnsi="Arial"/>
          <w:b w:val="0"/>
        </w:rPr>
        <w:t>El nuevo conector hembra USB-C de Würth Elektronik, diseñado exclusivamente como interfaz de suministro eléctrico y carga, cumple la nueva norma. Se comunica con la fuente de alimentación conectada y determina automáticamente la potencia máxima de carga. En el modo EPR (Extended Power Range), hasta 240W fluyen hacia las baterías. La comunicación inteligente garantiza tiempos de carga especialmente cortos y previene daños en los circuitos debidos a corrientes excesivas.</w:t>
      </w:r>
    </w:p>
    <w:p w14:paraId="685C41B5" w14:textId="77777777" w:rsidR="008913F7" w:rsidRDefault="008913F7">
      <w:pPr>
        <w:pStyle w:val="Textkrper"/>
        <w:spacing w:before="120" w:after="120" w:line="260" w:lineRule="exact"/>
        <w:jc w:val="both"/>
        <w:rPr>
          <w:rFonts w:ascii="Arial" w:hAnsi="Arial"/>
          <w:b w:val="0"/>
        </w:rPr>
      </w:pPr>
      <w:r>
        <w:rPr>
          <w:rFonts w:ascii="Arial" w:hAnsi="Arial"/>
        </w:rPr>
        <w:t>Diseño robusto y fácil de instalar</w:t>
      </w:r>
    </w:p>
    <w:p w14:paraId="3651ADAC" w14:textId="77777777" w:rsidR="008913F7" w:rsidRDefault="008913F7">
      <w:pPr>
        <w:pStyle w:val="Textkrper"/>
        <w:spacing w:before="120" w:after="120" w:line="260" w:lineRule="exact"/>
        <w:jc w:val="both"/>
        <w:rPr>
          <w:rFonts w:ascii="Arial" w:hAnsi="Arial"/>
          <w:b w:val="0"/>
        </w:rPr>
      </w:pPr>
      <w:r>
        <w:rPr>
          <w:rFonts w:ascii="Arial" w:hAnsi="Arial"/>
          <w:b w:val="0"/>
        </w:rPr>
        <w:t>Para una instalación mecánica y eléctricamente fiable, el conector hembra de seis pines está diseñado para montaje SMD tipo receptáculo horizontal con seis contactos de soldadura: cuatro contactos para el suministro eléctrico (Vbus y GND) y dos contactos de comunicación para determinar la tensión de trabajo (CC). Los contactos están provistos de una capa de níquel a modo de barrera y presentan un recubrimiento de oro. El recubrimiento de níquel garantiza un elevado nivel de protección contra la corrosión de la carcasa (encapsulado). Las piezas de plástico termoestable LCP empleadas son aptas para el proceso de soldadura del SMD. Reflow. Además, el material LCP se adapta perfectamente a los elevados requisitos de durabilidad mecánica del estándar USB.</w:t>
      </w:r>
    </w:p>
    <w:p w14:paraId="76806F0E" w14:textId="77777777" w:rsidR="008913F7" w:rsidRDefault="008913F7">
      <w:pPr>
        <w:pStyle w:val="Textkrper"/>
        <w:spacing w:before="120" w:after="120" w:line="260" w:lineRule="exact"/>
        <w:jc w:val="both"/>
        <w:rPr>
          <w:rFonts w:ascii="Arial" w:hAnsi="Arial"/>
          <w:b w:val="0"/>
        </w:rPr>
      </w:pPr>
      <w:r>
        <w:rPr>
          <w:rFonts w:ascii="Arial" w:hAnsi="Arial"/>
          <w:b w:val="0"/>
        </w:rPr>
        <w:t>La toma USB inteligente se emplea en aquellos casos en los que la interfaz USB solo se utiliza para la alimentación eléctrica, por ejemplo:</w:t>
      </w:r>
    </w:p>
    <w:p w14:paraId="3831688B" w14:textId="77777777" w:rsidR="008913F7" w:rsidRDefault="008913F7">
      <w:pPr>
        <w:pStyle w:val="Textkrper"/>
        <w:numPr>
          <w:ilvl w:val="0"/>
          <w:numId w:val="2"/>
        </w:numPr>
        <w:spacing w:before="120" w:after="120" w:line="260" w:lineRule="exact"/>
        <w:jc w:val="both"/>
        <w:rPr>
          <w:rFonts w:ascii="Arial" w:hAnsi="Arial"/>
          <w:b w:val="0"/>
        </w:rPr>
      </w:pPr>
      <w:r>
        <w:rPr>
          <w:rFonts w:ascii="Arial" w:hAnsi="Arial"/>
          <w:b w:val="0"/>
        </w:rPr>
        <w:t>Portátiles y PC industriales</w:t>
      </w:r>
    </w:p>
    <w:p w14:paraId="5A846B18" w14:textId="77777777" w:rsidR="008913F7" w:rsidRDefault="008913F7">
      <w:pPr>
        <w:pStyle w:val="Textkrper"/>
        <w:numPr>
          <w:ilvl w:val="0"/>
          <w:numId w:val="2"/>
        </w:numPr>
        <w:spacing w:before="120" w:after="120" w:line="260" w:lineRule="exact"/>
        <w:jc w:val="both"/>
        <w:rPr>
          <w:rFonts w:ascii="Arial" w:hAnsi="Arial"/>
          <w:b w:val="0"/>
        </w:rPr>
      </w:pPr>
      <w:r>
        <w:rPr>
          <w:rFonts w:ascii="Arial" w:hAnsi="Arial"/>
          <w:b w:val="0"/>
        </w:rPr>
        <w:t>Pantallas</w:t>
      </w:r>
    </w:p>
    <w:p w14:paraId="250D6651" w14:textId="77777777" w:rsidR="008913F7" w:rsidRDefault="008913F7">
      <w:pPr>
        <w:pStyle w:val="Textkrper"/>
        <w:numPr>
          <w:ilvl w:val="0"/>
          <w:numId w:val="2"/>
        </w:numPr>
        <w:spacing w:before="120" w:after="120" w:line="260" w:lineRule="exact"/>
        <w:jc w:val="both"/>
        <w:rPr>
          <w:rFonts w:ascii="Arial" w:hAnsi="Arial"/>
          <w:b w:val="0"/>
        </w:rPr>
      </w:pPr>
      <w:r>
        <w:rPr>
          <w:rFonts w:ascii="Arial" w:hAnsi="Arial"/>
          <w:b w:val="0"/>
        </w:rPr>
        <w:t>Sistemas de adquisición de datos portátiles</w:t>
      </w:r>
    </w:p>
    <w:p w14:paraId="0E1AE8CD" w14:textId="77777777" w:rsidR="008913F7" w:rsidRDefault="008913F7">
      <w:pPr>
        <w:pStyle w:val="Textkrper"/>
        <w:numPr>
          <w:ilvl w:val="0"/>
          <w:numId w:val="2"/>
        </w:numPr>
        <w:spacing w:before="120" w:after="120" w:line="260" w:lineRule="exact"/>
        <w:jc w:val="both"/>
        <w:rPr>
          <w:rFonts w:ascii="Arial" w:hAnsi="Arial"/>
          <w:b w:val="0"/>
        </w:rPr>
      </w:pPr>
      <w:r>
        <w:rPr>
          <w:rFonts w:ascii="Arial" w:hAnsi="Arial"/>
          <w:b w:val="0"/>
        </w:rPr>
        <w:t>Unidades de control móviles</w:t>
      </w:r>
    </w:p>
    <w:p w14:paraId="3961BCDE" w14:textId="77777777" w:rsidR="008913F7" w:rsidRDefault="008913F7">
      <w:pPr>
        <w:pStyle w:val="Textkrper"/>
        <w:numPr>
          <w:ilvl w:val="0"/>
          <w:numId w:val="2"/>
        </w:numPr>
        <w:spacing w:before="120" w:after="120" w:line="260" w:lineRule="exact"/>
        <w:jc w:val="both"/>
        <w:rPr>
          <w:rFonts w:ascii="Arial" w:hAnsi="Arial"/>
          <w:b w:val="0"/>
          <w:bCs w:val="0"/>
        </w:rPr>
      </w:pPr>
      <w:r>
        <w:rPr>
          <w:rFonts w:ascii="Arial" w:hAnsi="Arial"/>
          <w:b w:val="0"/>
        </w:rPr>
        <w:t>Baterías externas (power banks)</w:t>
      </w:r>
    </w:p>
    <w:p w14:paraId="496D76A8" w14:textId="77777777" w:rsidR="00EA7371" w:rsidRDefault="00EA7371">
      <w:pPr>
        <w:pStyle w:val="Textkrper"/>
        <w:spacing w:before="120" w:after="120" w:line="260" w:lineRule="exact"/>
        <w:jc w:val="both"/>
        <w:rPr>
          <w:rFonts w:ascii="Arial" w:hAnsi="Arial"/>
          <w:b w:val="0"/>
          <w:bCs w:val="0"/>
        </w:rPr>
      </w:pPr>
    </w:p>
    <w:p w14:paraId="076DDF7B" w14:textId="77777777" w:rsidR="008913F7" w:rsidRDefault="008913F7">
      <w:pPr>
        <w:pStyle w:val="PITextkrper"/>
        <w:pBdr>
          <w:top w:val="single" w:sz="4" w:space="1" w:color="000000"/>
        </w:pBdr>
        <w:spacing w:before="240"/>
        <w:rPr>
          <w:b/>
          <w:sz w:val="18"/>
          <w:szCs w:val="18"/>
          <w:lang w:val="de-DE"/>
        </w:rPr>
      </w:pPr>
    </w:p>
    <w:p w14:paraId="1D2319FF" w14:textId="77777777" w:rsidR="003159D5" w:rsidRPr="00735520" w:rsidRDefault="003159D5" w:rsidP="003159D5">
      <w:pPr>
        <w:spacing w:after="120" w:line="280" w:lineRule="exact"/>
        <w:rPr>
          <w:rFonts w:ascii="Arial" w:hAnsi="Arial" w:cs="Arial"/>
          <w:b/>
          <w:bCs/>
          <w:sz w:val="18"/>
          <w:szCs w:val="18"/>
        </w:rPr>
      </w:pPr>
      <w:r w:rsidRPr="00735520">
        <w:rPr>
          <w:rFonts w:ascii="Arial" w:hAnsi="Arial"/>
          <w:b/>
          <w:sz w:val="18"/>
        </w:rPr>
        <w:t>Imágenes disponibles</w:t>
      </w:r>
    </w:p>
    <w:p w14:paraId="66A91AD5" w14:textId="77777777" w:rsidR="008913F7" w:rsidRPr="003159D5" w:rsidRDefault="003159D5">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0" w:type="auto"/>
        <w:tblInd w:w="-38" w:type="dxa"/>
        <w:tblLayout w:type="fixed"/>
        <w:tblCellMar>
          <w:left w:w="70" w:type="dxa"/>
          <w:right w:w="70" w:type="dxa"/>
        </w:tblCellMar>
        <w:tblLook w:val="0000" w:firstRow="0" w:lastRow="0" w:firstColumn="0" w:lastColumn="0" w:noHBand="0" w:noVBand="0"/>
      </w:tblPr>
      <w:tblGrid>
        <w:gridCol w:w="3510"/>
      </w:tblGrid>
      <w:tr w:rsidR="008913F7" w14:paraId="2D889271" w14:textId="77777777">
        <w:trPr>
          <w:trHeight w:val="1701"/>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0775D5C" w14:textId="236B758D" w:rsidR="008913F7" w:rsidRDefault="008913F7">
            <w:pPr>
              <w:pStyle w:val="txt"/>
              <w:jc w:val="center"/>
              <w:rPr>
                <w:sz w:val="16"/>
              </w:rPr>
            </w:pPr>
            <w:r>
              <w:rPr>
                <w:b/>
              </w:rPr>
              <w:br/>
            </w:r>
            <w:r w:rsidR="00F57E7F">
              <w:rPr>
                <w:noProof/>
              </w:rPr>
              <w:drawing>
                <wp:inline distT="0" distB="0" distL="0" distR="0" wp14:anchorId="7F529483" wp14:editId="19EFE686">
                  <wp:extent cx="1438275" cy="1438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solidFill>
                            <a:srgbClr val="FFFFFF"/>
                          </a:solidFill>
                          <a:ln>
                            <a:noFill/>
                          </a:ln>
                        </pic:spPr>
                      </pic:pic>
                    </a:graphicData>
                  </a:graphic>
                </wp:inline>
              </w:drawing>
            </w:r>
          </w:p>
          <w:p w14:paraId="7E454F2F" w14:textId="77777777" w:rsidR="008913F7" w:rsidRPr="00EA7371" w:rsidRDefault="008913F7" w:rsidP="00EA7371">
            <w:pPr>
              <w:pStyle w:val="txt"/>
              <w:rPr>
                <w:b/>
                <w:sz w:val="18"/>
              </w:rPr>
            </w:pPr>
            <w:r>
              <w:rPr>
                <w:sz w:val="16"/>
              </w:rPr>
              <w:t>Fuente de la imagen: Würth Elektronik</w:t>
            </w:r>
            <w:r w:rsidR="00EA7371">
              <w:rPr>
                <w:sz w:val="16"/>
              </w:rPr>
              <w:br/>
            </w:r>
            <w:r w:rsidR="00EA7371">
              <w:rPr>
                <w:sz w:val="16"/>
              </w:rPr>
              <w:br/>
            </w:r>
            <w:r>
              <w:rPr>
                <w:b/>
                <w:sz w:val="18"/>
              </w:rPr>
              <w:t>WR-COM USB 3.1 PD Type C – Power Only SMT: carga inteligente con hasta 240W</w:t>
            </w:r>
          </w:p>
          <w:p w14:paraId="43FBCA31" w14:textId="77777777" w:rsidR="008913F7" w:rsidRPr="003159D5" w:rsidRDefault="008913F7">
            <w:pPr>
              <w:rPr>
                <w:rFonts w:ascii="Arial" w:hAnsi="Arial" w:cs="Arial"/>
                <w:b/>
                <w:bCs/>
                <w:sz w:val="18"/>
                <w:szCs w:val="18"/>
              </w:rPr>
            </w:pPr>
          </w:p>
        </w:tc>
      </w:tr>
    </w:tbl>
    <w:p w14:paraId="6B66CE51" w14:textId="77777777" w:rsidR="008913F7" w:rsidRPr="003159D5" w:rsidRDefault="008913F7">
      <w:pPr>
        <w:pStyle w:val="Textkrper"/>
        <w:spacing w:before="120" w:after="120" w:line="260" w:lineRule="exact"/>
        <w:jc w:val="both"/>
        <w:rPr>
          <w:rFonts w:ascii="Arial" w:hAnsi="Arial"/>
          <w:b w:val="0"/>
          <w:bCs w:val="0"/>
        </w:rPr>
      </w:pPr>
    </w:p>
    <w:p w14:paraId="6205EE63" w14:textId="77777777" w:rsidR="008913F7" w:rsidRPr="003159D5" w:rsidRDefault="008913F7">
      <w:pPr>
        <w:pStyle w:val="Textkrper"/>
        <w:spacing w:before="120" w:after="120" w:line="260" w:lineRule="exact"/>
        <w:jc w:val="both"/>
        <w:rPr>
          <w:rFonts w:ascii="Arial" w:hAnsi="Arial"/>
          <w:b w:val="0"/>
          <w:bCs w:val="0"/>
        </w:rPr>
      </w:pPr>
    </w:p>
    <w:p w14:paraId="18973AA3" w14:textId="77777777" w:rsidR="008913F7" w:rsidRDefault="008913F7">
      <w:pPr>
        <w:pStyle w:val="PITextkrper"/>
        <w:pBdr>
          <w:top w:val="single" w:sz="4" w:space="1" w:color="000000"/>
        </w:pBdr>
        <w:spacing w:before="240"/>
      </w:pPr>
    </w:p>
    <w:p w14:paraId="7CB13D8D" w14:textId="77777777" w:rsidR="003159D5" w:rsidRPr="00735520" w:rsidRDefault="003159D5" w:rsidP="003159D5">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6934F39" w14:textId="77777777" w:rsidR="003159D5" w:rsidRPr="00735520" w:rsidRDefault="003159D5" w:rsidP="003159D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C530111" w14:textId="77777777" w:rsidR="003159D5" w:rsidRDefault="003159D5" w:rsidP="003159D5">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2E644E99" w14:textId="0A132EF5" w:rsidR="003159D5" w:rsidRDefault="003159D5" w:rsidP="003159D5">
      <w:pPr>
        <w:pStyle w:val="Textkrper"/>
        <w:spacing w:before="120" w:after="120" w:line="276" w:lineRule="auto"/>
        <w:jc w:val="both"/>
        <w:rPr>
          <w:rFonts w:ascii="Arial" w:hAnsi="Arial"/>
          <w:b w:val="0"/>
        </w:rPr>
      </w:pPr>
      <w:r w:rsidRPr="00735520">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w:t>
      </w:r>
    </w:p>
    <w:p w14:paraId="33EE1636" w14:textId="4FD6F4ED" w:rsidR="00E82786" w:rsidRDefault="00E82786">
      <w:pPr>
        <w:suppressAutoHyphens w:val="0"/>
        <w:rPr>
          <w:rFonts w:ascii="Arial" w:hAnsi="Arial" w:cs="Arial"/>
          <w:bCs/>
          <w:sz w:val="20"/>
          <w:szCs w:val="20"/>
        </w:rPr>
      </w:pPr>
      <w:r>
        <w:rPr>
          <w:rFonts w:ascii="Arial" w:hAnsi="Arial"/>
          <w:b/>
        </w:rPr>
        <w:br w:type="page"/>
      </w:r>
    </w:p>
    <w:p w14:paraId="047F03BD" w14:textId="77777777" w:rsidR="00E82786" w:rsidRPr="00735520" w:rsidRDefault="00E82786" w:rsidP="003159D5">
      <w:pPr>
        <w:pStyle w:val="Textkrper"/>
        <w:spacing w:before="120" w:after="120" w:line="276" w:lineRule="auto"/>
        <w:jc w:val="both"/>
        <w:rPr>
          <w:rFonts w:ascii="Arial" w:hAnsi="Arial"/>
          <w:b w:val="0"/>
        </w:rPr>
      </w:pPr>
    </w:p>
    <w:p w14:paraId="59281481" w14:textId="77777777" w:rsidR="003159D5" w:rsidRPr="00735520" w:rsidRDefault="003159D5" w:rsidP="003159D5">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1A7794B" w14:textId="77777777" w:rsidR="003159D5" w:rsidRPr="00163BBC" w:rsidRDefault="003159D5" w:rsidP="003159D5">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40E529AF" w14:textId="77777777" w:rsidR="003159D5" w:rsidRPr="00735520" w:rsidRDefault="003159D5" w:rsidP="003159D5">
      <w:pPr>
        <w:pStyle w:val="Textkrper"/>
        <w:spacing w:before="120" w:after="120" w:line="276" w:lineRule="auto"/>
        <w:rPr>
          <w:rFonts w:ascii="Arial" w:hAnsi="Arial"/>
        </w:rPr>
      </w:pPr>
      <w:r w:rsidRPr="00735520">
        <w:rPr>
          <w:rFonts w:ascii="Arial" w:hAnsi="Arial"/>
        </w:rPr>
        <w:t>Más información en www.we-online.com</w:t>
      </w:r>
    </w:p>
    <w:p w14:paraId="327CE6BB" w14:textId="77777777" w:rsidR="003159D5" w:rsidRPr="00735520" w:rsidRDefault="003159D5" w:rsidP="003159D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159D5" w:rsidRPr="00163BBC" w14:paraId="538B134C" w14:textId="77777777" w:rsidTr="008913F7">
        <w:tc>
          <w:tcPr>
            <w:tcW w:w="3902" w:type="dxa"/>
            <w:hideMark/>
          </w:tcPr>
          <w:p w14:paraId="7CAC6AB2" w14:textId="77777777" w:rsidR="003159D5" w:rsidRPr="00735520" w:rsidRDefault="003159D5" w:rsidP="008913F7">
            <w:pPr>
              <w:pStyle w:val="Textkrper"/>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D863BE7" w14:textId="77777777" w:rsidR="003159D5" w:rsidRPr="00735520" w:rsidRDefault="003159D5" w:rsidP="008913F7">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1B4F5E5" w14:textId="77777777" w:rsidR="003159D5" w:rsidRPr="00735520" w:rsidRDefault="003159D5" w:rsidP="008913F7">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64A181A" w14:textId="77777777" w:rsidR="003159D5" w:rsidRPr="00735520" w:rsidRDefault="003159D5" w:rsidP="008913F7">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38B62FA" w14:textId="77777777" w:rsidR="003159D5" w:rsidRPr="00735520" w:rsidRDefault="003159D5" w:rsidP="008913F7">
            <w:pPr>
              <w:pStyle w:val="Textkrper"/>
              <w:tabs>
                <w:tab w:val="left" w:pos="1065"/>
              </w:tabs>
              <w:spacing w:before="120" w:after="120" w:line="276" w:lineRule="auto"/>
              <w:rPr>
                <w:rFonts w:ascii="Arial" w:hAnsi="Arial"/>
                <w:bCs w:val="0"/>
                <w:szCs w:val="24"/>
              </w:rPr>
            </w:pPr>
            <w:r w:rsidRPr="00735520">
              <w:rPr>
                <w:rFonts w:ascii="Arial" w:hAnsi="Arial"/>
              </w:rPr>
              <w:t>Contacto para la prensa:</w:t>
            </w:r>
          </w:p>
          <w:p w14:paraId="2561003E" w14:textId="77777777" w:rsidR="003159D5" w:rsidRPr="00735520" w:rsidRDefault="003159D5" w:rsidP="008913F7">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55301D3" w14:textId="77777777" w:rsidR="003159D5" w:rsidRPr="00735520" w:rsidRDefault="003159D5" w:rsidP="008913F7">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C79B114" w14:textId="77777777" w:rsidR="003159D5" w:rsidRPr="00735520" w:rsidRDefault="003159D5" w:rsidP="008913F7">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9702BF2" w14:textId="77777777" w:rsidR="003159D5" w:rsidRDefault="003159D5" w:rsidP="003159D5">
      <w:pPr>
        <w:pStyle w:val="PITextkrper"/>
        <w:spacing w:before="240"/>
      </w:pPr>
    </w:p>
    <w:sectPr w:rsidR="003159D5" w:rsidSect="00E82786">
      <w:headerReference w:type="even" r:id="rId10"/>
      <w:headerReference w:type="default" r:id="rId11"/>
      <w:footerReference w:type="even" r:id="rId12"/>
      <w:footerReference w:type="default" r:id="rId13"/>
      <w:headerReference w:type="first" r:id="rId14"/>
      <w:footerReference w:type="first" r:id="rId15"/>
      <w:pgSz w:w="11906" w:h="16838"/>
      <w:pgMar w:top="1985" w:right="3402" w:bottom="1134" w:left="1418" w:header="425"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A554" w14:textId="77777777" w:rsidR="003326E1" w:rsidRDefault="003326E1">
      <w:r>
        <w:separator/>
      </w:r>
    </w:p>
  </w:endnote>
  <w:endnote w:type="continuationSeparator" w:id="0">
    <w:p w14:paraId="6C35EBB9" w14:textId="77777777" w:rsidR="003326E1" w:rsidRDefault="0033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4703" w14:textId="77777777" w:rsidR="00EA7371" w:rsidRDefault="00EA73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3055" w14:textId="77777777" w:rsidR="008913F7" w:rsidRPr="003159D5" w:rsidRDefault="008913F7">
    <w:pPr>
      <w:pStyle w:val="Fuzeile"/>
      <w:suppressLineNumbers w:val="0"/>
      <w:tabs>
        <w:tab w:val="clear" w:pos="4536"/>
        <w:tab w:val="clear" w:pos="9072"/>
        <w:tab w:val="right" w:pos="7088"/>
      </w:tabs>
      <w:suppressAutoHyphens w:val="0"/>
      <w:rPr>
        <w:rFonts w:ascii="Arial" w:hAnsi="Arial" w:cs="Arial"/>
        <w:sz w:val="16"/>
        <w:szCs w:val="16"/>
        <w:lang w:val="en-US"/>
      </w:rPr>
    </w:pPr>
    <w:r>
      <w:rPr>
        <w:rFonts w:ascii="Arial" w:hAnsi="Arial" w:cs="Arial"/>
        <w:sz w:val="16"/>
        <w:szCs w:val="16"/>
      </w:rPr>
      <w:fldChar w:fldCharType="begin"/>
    </w:r>
    <w:r w:rsidRPr="003159D5">
      <w:rPr>
        <w:rFonts w:ascii="Arial" w:hAnsi="Arial" w:cs="Arial"/>
        <w:sz w:val="16"/>
        <w:szCs w:val="16"/>
        <w:lang w:val="en-US"/>
      </w:rPr>
      <w:instrText xml:space="preserve"> FILENAME </w:instrText>
    </w:r>
    <w:r>
      <w:rPr>
        <w:rFonts w:ascii="Arial" w:hAnsi="Arial" w:cs="Arial"/>
        <w:sz w:val="16"/>
        <w:szCs w:val="16"/>
      </w:rPr>
      <w:fldChar w:fldCharType="separate"/>
    </w:r>
    <w:r w:rsidRPr="003159D5">
      <w:rPr>
        <w:rFonts w:ascii="Arial" w:hAnsi="Arial" w:cs="Arial"/>
        <w:noProof/>
        <w:sz w:val="16"/>
        <w:szCs w:val="16"/>
        <w:lang w:val="en-US"/>
      </w:rPr>
      <w:t>WTH1PI1513</w:t>
    </w:r>
    <w:r w:rsidR="003159D5">
      <w:rPr>
        <w:rFonts w:ascii="Arial" w:hAnsi="Arial" w:cs="Arial"/>
        <w:noProof/>
        <w:sz w:val="16"/>
        <w:szCs w:val="16"/>
        <w:lang w:val="en-US"/>
      </w:rPr>
      <w:t>_es.docx</w:t>
    </w:r>
    <w:r>
      <w:rPr>
        <w:rFonts w:ascii="Arial" w:hAnsi="Arial" w:cs="Arial"/>
        <w:sz w:val="16"/>
        <w:szCs w:val="16"/>
      </w:rPr>
      <w:fldChar w:fldCharType="end"/>
    </w:r>
    <w:r w:rsidRPr="003159D5">
      <w:rPr>
        <w:rFonts w:ascii="Arial" w:hAnsi="Arial"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C58" w14:textId="77777777" w:rsidR="00EA7371" w:rsidRDefault="00EA73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4A65" w14:textId="77777777" w:rsidR="003326E1" w:rsidRDefault="003326E1">
      <w:r>
        <w:separator/>
      </w:r>
    </w:p>
  </w:footnote>
  <w:footnote w:type="continuationSeparator" w:id="0">
    <w:p w14:paraId="6CBA22A5" w14:textId="77777777" w:rsidR="003326E1" w:rsidRDefault="0033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D92E" w14:textId="77777777" w:rsidR="00EA7371" w:rsidRDefault="00EA73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2D4A" w14:textId="1A796AFA" w:rsidR="008913F7" w:rsidRDefault="00F57E7F">
    <w:pPr>
      <w:pStyle w:val="Kopfzeile"/>
      <w:tabs>
        <w:tab w:val="clear" w:pos="9072"/>
        <w:tab w:val="right" w:pos="9498"/>
      </w:tabs>
    </w:pPr>
    <w:r>
      <w:rPr>
        <w:noProof/>
      </w:rPr>
      <w:drawing>
        <wp:anchor distT="0" distB="0" distL="114300" distR="114300" simplePos="0" relativeHeight="251657728" behindDoc="1" locked="0" layoutInCell="0" allowOverlap="1" wp14:anchorId="450EFC66" wp14:editId="58930025">
          <wp:simplePos x="0" y="0"/>
          <wp:positionH relativeFrom="column">
            <wp:posOffset>4167505</wp:posOffset>
          </wp:positionH>
          <wp:positionV relativeFrom="paragraph">
            <wp:posOffset>42545</wp:posOffset>
          </wp:positionV>
          <wp:extent cx="1889760" cy="756285"/>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A013" w14:textId="77777777" w:rsidR="00EA7371" w:rsidRDefault="00EA73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108350071">
    <w:abstractNumId w:val="0"/>
  </w:num>
  <w:num w:numId="2" w16cid:durableId="137234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DD"/>
    <w:rsid w:val="003159D5"/>
    <w:rsid w:val="00316A3B"/>
    <w:rsid w:val="003326E1"/>
    <w:rsid w:val="007A582E"/>
    <w:rsid w:val="008913F7"/>
    <w:rsid w:val="008B23DD"/>
    <w:rsid w:val="008B6E64"/>
    <w:rsid w:val="009D584B"/>
    <w:rsid w:val="00BD32DE"/>
    <w:rsid w:val="00E82786"/>
    <w:rsid w:val="00EA7371"/>
    <w:rsid w:val="00F57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AE369B"/>
  <w15:chartTrackingRefBased/>
  <w15:docId w15:val="{EB299582-7C4C-4375-9D28-582D6825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es-ES" w:eastAsia="ar-SA"/>
    </w:rPr>
  </w:style>
  <w:style w:type="paragraph" w:styleId="berschrift1">
    <w:name w:val="heading 1"/>
    <w:basedOn w:val="Standard"/>
    <w:next w:val="Textkrper"/>
    <w:qFormat/>
    <w:pPr>
      <w:keepNext/>
      <w:numPr>
        <w:numId w:val="1"/>
      </w:numPr>
      <w:spacing w:before="240" w:after="60"/>
      <w:outlineLvl w:val="0"/>
    </w:pPr>
    <w:rPr>
      <w:rFonts w:ascii="Arial" w:hAnsi="Arial" w:cs="Arial"/>
      <w:b/>
      <w:bCs/>
      <w:kern w:val="1"/>
      <w:sz w:val="32"/>
      <w:szCs w:val="32"/>
    </w:rPr>
  </w:style>
  <w:style w:type="paragraph" w:styleId="berschrift2">
    <w:name w:val="heading 2"/>
    <w:basedOn w:val="Standard"/>
    <w:next w:val="Textkrper"/>
    <w:qFormat/>
    <w:pPr>
      <w:keepNext/>
      <w:numPr>
        <w:ilvl w:val="1"/>
        <w:numId w:val="1"/>
      </w:numPr>
      <w:outlineLvl w:val="1"/>
    </w:pPr>
    <w:rPr>
      <w:rFonts w:ascii="Arial" w:hAnsi="Arial" w:cs="Arial"/>
      <w:b/>
      <w:sz w:val="32"/>
    </w:rPr>
  </w:style>
  <w:style w:type="paragraph" w:styleId="berschrift3">
    <w:name w:val="heading 3"/>
    <w:basedOn w:val="Standard"/>
    <w:next w:val="Textkrper"/>
    <w:qFormat/>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kkorde">
    <w:name w:val="Akkorde"/>
    <w:rPr>
      <w:rFonts w:ascii="Times New Roman" w:hAnsi="Times New Roman"/>
      <w:b/>
      <w:sz w:val="24"/>
      <w:lang w:val="es-ES"/>
    </w:rPr>
  </w:style>
  <w:style w:type="character" w:styleId="Fett">
    <w:name w:val="Strong"/>
    <w:qFormat/>
    <w:rPr>
      <w:b/>
      <w:bCs/>
    </w:rPr>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customStyle="1" w:styleId="Seitenzahl1">
    <w:name w:val="Seitenzahl1"/>
    <w:basedOn w:val="DefaultParagraphFont1"/>
  </w:style>
  <w:style w:type="character" w:customStyle="1" w:styleId="subpg-hdr">
    <w:name w:val="subpg-hdr"/>
    <w:basedOn w:val="DefaultParagraphFont1"/>
  </w:style>
  <w:style w:type="character" w:customStyle="1" w:styleId="subpg-txt">
    <w:name w:val="subpg-txt"/>
    <w:basedOn w:val="DefaultParagraphFont1"/>
  </w:style>
  <w:style w:type="character" w:customStyle="1" w:styleId="textbold">
    <w:name w:val="textbold"/>
    <w:basedOn w:val="DefaultParagraphFont1"/>
  </w:style>
  <w:style w:type="character" w:customStyle="1" w:styleId="TextkrperZchn">
    <w:name w:val="Textkörper Zchn"/>
    <w:rPr>
      <w:rFonts w:ascii="Verdana" w:hAnsi="Verdana" w:cs="Arial"/>
      <w:b/>
      <w:bCs/>
    </w:rPr>
  </w:style>
  <w:style w:type="character" w:customStyle="1" w:styleId="berschrift1Zchn">
    <w:name w:val="Überschrift 1 Zchn"/>
    <w:rPr>
      <w:rFonts w:ascii="Arial" w:hAnsi="Arial" w:cs="Arial"/>
      <w:b/>
      <w:bCs/>
      <w:kern w:val="1"/>
      <w:sz w:val="32"/>
      <w:szCs w:val="32"/>
    </w:rPr>
  </w:style>
  <w:style w:type="character" w:customStyle="1" w:styleId="Kommentarzeichen1">
    <w:name w:val="Kommentarzeichen1"/>
    <w:rPr>
      <w:sz w:val="16"/>
      <w:szCs w:val="16"/>
    </w:rPr>
  </w:style>
  <w:style w:type="character" w:customStyle="1" w:styleId="KommentartextZchn">
    <w:name w:val="Kommentartext Zchn"/>
    <w:basedOn w:val="DefaultParagraphFont1"/>
  </w:style>
  <w:style w:type="character" w:customStyle="1" w:styleId="FuzeileZchn">
    <w:name w:val="Fußzeile Zchn"/>
    <w:rPr>
      <w:sz w:val="24"/>
      <w:szCs w:val="24"/>
    </w:rPr>
  </w:style>
  <w:style w:type="character" w:customStyle="1" w:styleId="KommentarthemaZchn">
    <w:name w:val="Kommentarthema Zchn"/>
    <w:rPr>
      <w:b/>
      <w:bCs/>
    </w:rPr>
  </w:style>
  <w:style w:type="character" w:customStyle="1" w:styleId="berschrift3Zchn">
    <w:name w:val="Überschrift 3 Zchn"/>
    <w:rPr>
      <w:rFonts w:ascii="Cambria" w:eastAsia="Times New Roman" w:hAnsi="Cambria" w:cs="Times New Roman"/>
      <w:b/>
      <w:bCs/>
      <w:sz w:val="26"/>
      <w:szCs w:val="26"/>
    </w:rPr>
  </w:style>
  <w:style w:type="character" w:customStyle="1" w:styleId="PITextkrperZchn">
    <w:name w:val="PI_Textkörper Zchn"/>
    <w:rPr>
      <w:rFonts w:ascii="Arial" w:hAnsi="Arial"/>
      <w:sz w:val="22"/>
      <w:lang w:val="es-ES"/>
    </w:rPr>
  </w:style>
  <w:style w:type="character" w:customStyle="1" w:styleId="NichtaufgelsteErwhnung1">
    <w:name w:val="Nicht aufgelöste Erwähnung1"/>
    <w:rPr>
      <w:color w:val="605E5C"/>
    </w:rPr>
  </w:style>
  <w:style w:type="character" w:customStyle="1" w:styleId="contact-label">
    <w:name w:val="contact-label"/>
    <w:basedOn w:val="DefaultParagraphFont1"/>
  </w:style>
  <w:style w:type="character" w:customStyle="1" w:styleId="FollowedHyperlink1">
    <w:name w:val="FollowedHyperlink1"/>
    <w:rPr>
      <w:color w:val="954F72"/>
      <w:u w:val="single"/>
    </w:rPr>
  </w:style>
  <w:style w:type="character" w:customStyle="1" w:styleId="ListLabel1">
    <w:name w:val="ListLabel 1"/>
    <w:rPr>
      <w:sz w:val="20"/>
    </w:rPr>
  </w:style>
  <w:style w:type="character" w:customStyle="1" w:styleId="ListLabel2">
    <w:name w:val="ListLabel 2"/>
    <w:rPr>
      <w:rFonts w:eastAsia="Calibri" w:cs="Calibri"/>
    </w:rPr>
  </w:style>
  <w:style w:type="character" w:customStyle="1" w:styleId="ListLabel3">
    <w:name w:val="ListLabel 3"/>
    <w:rPr>
      <w:rFonts w:cs="Courier New"/>
    </w:rPr>
  </w:style>
  <w:style w:type="paragraph" w:customStyle="1" w:styleId="Encabezado">
    <w:name w:val="Encabezado"/>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rPr>
      <w:rFonts w:ascii="Verdana" w:hAnsi="Verdana" w:cs="Arial"/>
      <w:b/>
      <w:bCs/>
      <w:sz w:val="20"/>
      <w:szCs w:val="20"/>
    </w:rPr>
  </w:style>
  <w:style w:type="paragraph" w:styleId="Liste">
    <w:name w:val="List"/>
    <w:basedOn w:val="Textkrper"/>
    <w:rPr>
      <w:rFonts w:cs="Lucida Sans"/>
    </w:rPr>
  </w:style>
  <w:style w:type="paragraph" w:customStyle="1" w:styleId="Etiqueta">
    <w:name w:val="Etiqueta"/>
    <w:basedOn w:val="Standard"/>
    <w:pPr>
      <w:suppressLineNumbers/>
      <w:spacing w:before="120" w:after="120"/>
    </w:pPr>
    <w:rPr>
      <w:rFonts w:cs="Lucida Sans"/>
      <w:i/>
      <w:iCs/>
    </w:rPr>
  </w:style>
  <w:style w:type="paragraph" w:customStyle="1" w:styleId="ndice">
    <w:name w:val="Índice"/>
    <w:basedOn w:val="Standard"/>
    <w:pPr>
      <w:suppressLineNumbers/>
    </w:pPr>
    <w:rPr>
      <w:rFonts w:cs="Lucida Sans"/>
    </w:rPr>
  </w:style>
  <w:style w:type="paragraph" w:customStyle="1" w:styleId="Refrain">
    <w:name w:val="Refrain"/>
    <w:basedOn w:val="Standard"/>
    <w:pPr>
      <w:tabs>
        <w:tab w:val="left" w:pos="1080"/>
        <w:tab w:val="left" w:pos="3960"/>
      </w:tabs>
    </w:pPr>
    <w:rPr>
      <w:b/>
      <w:bC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NormalWeb1">
    <w:name w:val="Normal (Web)1"/>
    <w:basedOn w:val="Standard"/>
    <w:pPr>
      <w:spacing w:before="100" w:after="100"/>
    </w:pPr>
    <w:rPr>
      <w:color w:val="000000"/>
    </w:rPr>
  </w:style>
  <w:style w:type="paragraph" w:customStyle="1" w:styleId="BodyText31">
    <w:name w:val="Body Text 31"/>
    <w:basedOn w:val="Standard"/>
    <w:rPr>
      <w:rFonts w:ascii="Arial" w:hAnsi="Arial"/>
      <w:b/>
      <w:sz w:val="20"/>
    </w:rPr>
  </w:style>
  <w:style w:type="paragraph" w:customStyle="1" w:styleId="BodyText21">
    <w:name w:val="Body Text 21"/>
    <w:basedOn w:val="Standard"/>
    <w:pPr>
      <w:spacing w:line="260" w:lineRule="exact"/>
    </w:pPr>
    <w:rPr>
      <w:rFonts w:ascii="Verdana" w:hAnsi="Verdana" w:cs="Arial"/>
      <w:sz w:val="18"/>
      <w:szCs w:val="20"/>
    </w:rPr>
  </w:style>
  <w:style w:type="paragraph" w:customStyle="1" w:styleId="BalloonText1">
    <w:name w:val="Balloon Text1"/>
    <w:basedOn w:val="Standard"/>
    <w:rPr>
      <w:rFonts w:ascii="Tahoma" w:hAnsi="Tahoma" w:cs="Tahoma"/>
      <w:sz w:val="16"/>
      <w:szCs w:val="16"/>
    </w:rPr>
  </w:style>
  <w:style w:type="paragraph" w:customStyle="1" w:styleId="BalloonText2">
    <w:name w:val="Balloon Text2"/>
    <w:basedOn w:val="Standard"/>
    <w:rPr>
      <w:rFonts w:ascii="Tahoma" w:hAnsi="Tahoma" w:cs="Tahoma"/>
      <w:sz w:val="16"/>
      <w:szCs w:val="16"/>
    </w:rPr>
  </w:style>
  <w:style w:type="paragraph" w:customStyle="1" w:styleId="PITextkrper">
    <w:name w:val="PI_Textkörper"/>
    <w:basedOn w:val="Standard"/>
    <w:pPr>
      <w:spacing w:after="120" w:line="280" w:lineRule="exact"/>
      <w:jc w:val="both"/>
    </w:pPr>
    <w:rPr>
      <w:rFonts w:ascii="Arial" w:hAnsi="Arial"/>
      <w:sz w:val="22"/>
      <w:szCs w:val="20"/>
    </w:rPr>
  </w:style>
  <w:style w:type="paragraph" w:customStyle="1" w:styleId="PIAbspann">
    <w:name w:val="PI_Abspann"/>
    <w:basedOn w:val="Standard"/>
    <w:pPr>
      <w:spacing w:after="120" w:line="280" w:lineRule="exact"/>
      <w:jc w:val="both"/>
    </w:pPr>
    <w:rPr>
      <w:rFonts w:ascii="Arial" w:hAnsi="Arial"/>
      <w:sz w:val="18"/>
      <w:szCs w:val="20"/>
    </w:rPr>
  </w:style>
  <w:style w:type="paragraph" w:customStyle="1" w:styleId="txt">
    <w:name w:val="txt"/>
    <w:basedOn w:val="Standard"/>
    <w:pPr>
      <w:spacing w:before="100" w:after="100"/>
    </w:pPr>
    <w:rPr>
      <w:rFonts w:ascii="Arial" w:eastAsia="Arial Unicode MS" w:hAnsi="Arial" w:cs="Arial"/>
      <w:color w:val="000000"/>
      <w:sz w:val="20"/>
      <w:szCs w:val="20"/>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Revision1">
    <w:name w:val="Revision1"/>
    <w:pPr>
      <w:suppressAutoHyphens/>
    </w:pPr>
    <w:rPr>
      <w:sz w:val="24"/>
      <w:szCs w:val="24"/>
      <w:lang w:val="es-ES" w:eastAsia="ar-SA"/>
    </w:rPr>
  </w:style>
  <w:style w:type="paragraph" w:customStyle="1" w:styleId="ListParagraph1">
    <w:name w:val="List Paragraph1"/>
    <w:basedOn w:val="Standard"/>
    <w:pPr>
      <w:ind w:left="720"/>
    </w:pPr>
    <w:rPr>
      <w:rFonts w:ascii="Calibri" w:eastAsia="Calibri" w:hAnsi="Calibri" w:cs="Calibri"/>
      <w:sz w:val="22"/>
      <w:szCs w:val="22"/>
    </w:rPr>
  </w:style>
  <w:style w:type="paragraph" w:styleId="berarbeitung">
    <w:name w:val="Revision"/>
    <w:hidden/>
    <w:uiPriority w:val="99"/>
    <w:semiHidden/>
    <w:rsid w:val="003159D5"/>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e-online.com/en/components/products/WR_COM_USB_POWER_DELIVERY_TYPE_C_RECEPTACLE_HORIZONTAL_SM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4113</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4756</CharactersWithSpaces>
  <SharedDoc>false</SharedDoc>
  <HLinks>
    <vt:vector size="12" baseType="variant">
      <vt:variant>
        <vt:i4>393245</vt:i4>
      </vt:variant>
      <vt:variant>
        <vt:i4>3</vt:i4>
      </vt:variant>
      <vt:variant>
        <vt:i4>0</vt:i4>
      </vt:variant>
      <vt:variant>
        <vt:i4>5</vt:i4>
      </vt:variant>
      <vt:variant>
        <vt:lpwstr>https://kk.htcm.de/press-releases/wuerth/</vt:lpwstr>
      </vt:variant>
      <vt:variant>
        <vt:lpwstr/>
      </vt:variant>
      <vt:variant>
        <vt:i4>4391010</vt:i4>
      </vt:variant>
      <vt:variant>
        <vt:i4>0</vt:i4>
      </vt:variant>
      <vt:variant>
        <vt:i4>0</vt:i4>
      </vt:variant>
      <vt:variant>
        <vt:i4>5</vt:i4>
      </vt:variant>
      <vt:variant>
        <vt:lpwstr>https://www.we-online.com/en/components/products/WR_COM_USB_POWER_DELIVERY_TYPE_C_RECEPTACLE_HORIZONTAL_SMT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2017-06-23T06:32:00Z</cp:lastPrinted>
  <dcterms:created xsi:type="dcterms:W3CDTF">2024-10-16T07:32:00Z</dcterms:created>
  <dcterms:modified xsi:type="dcterms:W3CDTF">2024-10-16T07:39:00Z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