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Pr>
          <w:rFonts w:ascii="Arial" w:hAnsi="Arial"/>
          <w:b/>
        </w:rPr>
        <w:t>Würth Elektronik diventa Preferred Partner di Infineon</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Componenti adeguati per il circuito integrato</w:t>
      </w:r>
    </w:p>
    <w:p w14:paraId="201DBD28" w14:textId="45B40671"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7E33DE" w:rsidRPr="007E33DE">
        <w:rPr>
          <w:rFonts w:ascii="Arial" w:hAnsi="Arial"/>
          <w:color w:val="000000"/>
        </w:rPr>
        <w:t>13 marzo</w:t>
      </w:r>
      <w:r w:rsidR="007E33DE">
        <w:rPr>
          <w:rFonts w:ascii="Arial" w:hAnsi="Arial"/>
          <w:color w:val="000000"/>
        </w:rPr>
        <w:t xml:space="preserve"> </w:t>
      </w:r>
      <w:r>
        <w:rPr>
          <w:rFonts w:ascii="Arial" w:hAnsi="Arial"/>
          <w:color w:val="000000"/>
        </w:rPr>
        <w:t>2025 - Würth Elektronik, uno dei principali produttori di componenti elettronici ed elettromeccanici, amplia la propria collaborazione con i produttori di semiconduttori. L’azienda, che da diversi anni collabora con i principali operatori del settore, è stata recentemente nominata “Preferred Partner” da Infineon. Le sviluppatrici e gli sviluppatori beneficiano di questa partnership in quanto possono accedere a oltre 480 reference design con chip Infineon e componenti adatti sul sito web di Würth Elektronik.</w:t>
      </w:r>
    </w:p>
    <w:p w14:paraId="4B7387C6" w14:textId="193EE25B" w:rsidR="00F717D7" w:rsidRDefault="00D52184" w:rsidP="00F717D7">
      <w:pPr>
        <w:pStyle w:val="Textkrper"/>
        <w:spacing w:before="120" w:after="120" w:line="260" w:lineRule="exact"/>
        <w:jc w:val="both"/>
        <w:rPr>
          <w:rFonts w:ascii="Arial" w:hAnsi="Arial"/>
          <w:b w:val="0"/>
          <w:bCs w:val="0"/>
        </w:rPr>
      </w:pPr>
      <w:r>
        <w:rPr>
          <w:rFonts w:ascii="Arial" w:hAnsi="Arial"/>
          <w:b w:val="0"/>
        </w:rPr>
        <w:t>“Oggi i circuiti integrati e i componenti passivi si completano a vicenda per formare un insieme funzionale in quasi tutti i grandi moduli elettronici”, spiega Alexander Gerfer, CTO di Würth Elektronik eiSos. “È quindi logico che la nostra azienda lavori a stretto contatto con produttori di circuiti integrati come Infineon per offrire agli sviluppatori soluzioni pratiche e complete”. Lo status di Preferred Partner evidenzia la fiducia di Infineon nella qualità e nell’affidabilità dei prodotti di Würth Elektronik. In qualità di partner, Würth Elektronik ha inoltre accesso a speciali risorse interne del produttore di semiconduttori.</w:t>
      </w:r>
    </w:p>
    <w:p w14:paraId="513D33E6" w14:textId="49B150D5" w:rsidR="00F717D7" w:rsidRDefault="00F717D7" w:rsidP="00F717D7">
      <w:pPr>
        <w:pStyle w:val="Textkrper"/>
        <w:spacing w:before="120" w:after="120" w:line="260" w:lineRule="exact"/>
        <w:jc w:val="both"/>
        <w:rPr>
          <w:rFonts w:ascii="Arial" w:hAnsi="Arial"/>
        </w:rPr>
      </w:pPr>
      <w:r>
        <w:rPr>
          <w:rFonts w:ascii="Arial" w:hAnsi="Arial"/>
        </w:rPr>
        <w:t>Vantaggi pratici per sviluppatrici e sviluppatori</w:t>
      </w:r>
    </w:p>
    <w:p w14:paraId="1D43FAD9" w14:textId="1BCE0D9D" w:rsidR="00F717D7" w:rsidRDefault="00114260" w:rsidP="00485E6F">
      <w:pPr>
        <w:pStyle w:val="Textkrper"/>
        <w:spacing w:before="120" w:after="120" w:line="260" w:lineRule="exact"/>
        <w:jc w:val="both"/>
        <w:rPr>
          <w:rFonts w:ascii="Arial" w:hAnsi="Arial"/>
          <w:b w:val="0"/>
          <w:bCs w:val="0"/>
        </w:rPr>
      </w:pPr>
      <w:r>
        <w:rPr>
          <w:rFonts w:ascii="Arial" w:hAnsi="Arial"/>
          <w:b w:val="0"/>
        </w:rPr>
        <w:t>La partnership offre un reale valore aggiunto alle sviluppatrici e agli sviluppatori: tutti i reference design realizzati da Infineon con i componenti di Würth Elektronik possono essere consultati in una sezione dedicata del sito Web di Würth Elektronik. Servendosi delle funzioni di filtro, gli interessati possono selezionare un reference design ottimizzato per la loro applicazione. Ogni reference design contiene una descrizione esauriente, schemi elettrici dettagliati, una specifica del circuito integrato e una lista dei materiali (BOM) con i componenti appropriati di Würth Elektronik. Le sviluppatrici e gli sviluppatori possono richiedere questi componenti come campioni da laboratorio gratuiti o richiamare ulteriori specifiche tramite la piattaforma di simulazione REDEXPERT. Il database contiene attualmente oltre 25.000 componenti di Würth Elektronik.</w:t>
      </w:r>
    </w:p>
    <w:p w14:paraId="3FCB2C79" w14:textId="15F42CEF" w:rsidR="006E0E14" w:rsidRPr="006E0E14" w:rsidRDefault="006E0E14" w:rsidP="00485E6F">
      <w:pPr>
        <w:pStyle w:val="Textkrper"/>
        <w:spacing w:before="120" w:after="120" w:line="260" w:lineRule="exact"/>
        <w:jc w:val="both"/>
        <w:rPr>
          <w:rFonts w:ascii="Arial" w:hAnsi="Arial"/>
        </w:rPr>
      </w:pPr>
      <w:r>
        <w:rPr>
          <w:rFonts w:ascii="Arial" w:hAnsi="Arial"/>
        </w:rPr>
        <w:t>Realizzazione rapida del primo prototipo</w:t>
      </w:r>
    </w:p>
    <w:p w14:paraId="2489ADAA" w14:textId="42D5223F" w:rsidR="00032841" w:rsidRDefault="007B0944" w:rsidP="00485E6F">
      <w:pPr>
        <w:pStyle w:val="Textkrper"/>
        <w:spacing w:before="120" w:after="120" w:line="260" w:lineRule="exact"/>
        <w:jc w:val="both"/>
        <w:rPr>
          <w:rFonts w:ascii="Arial" w:hAnsi="Arial"/>
          <w:b w:val="0"/>
          <w:bCs w:val="0"/>
        </w:rPr>
      </w:pPr>
      <w:r>
        <w:rPr>
          <w:rFonts w:ascii="Arial" w:hAnsi="Arial"/>
          <w:b w:val="0"/>
        </w:rPr>
        <w:t xml:space="preserve">“Anche i reference design di numerosi altri produttori di circuiti integrati creati con i nostri componenti sono accessibili in modo rapido e semplice sul nostro sito web”, sottolinea Gerfer. “Essi indicano la strada più diretta dalla fase progettuale al primo prototipo. Con pochi clic, le sviluppatrici e gli sviluppatori possono trovare un circuito funzionante da personalizzare per molte applicazioni standard come applicazioni di controllo motore o convertitori. REDEXPERT aiuta a ottimizzare il </w:t>
      </w:r>
      <w:r>
        <w:rPr>
          <w:rFonts w:ascii="Arial" w:hAnsi="Arial"/>
          <w:b w:val="0"/>
        </w:rPr>
        <w:lastRenderedPageBreak/>
        <w:t>dimensionamento e fornisce un valido supporto a piccole e medie imprese che spesso non dispongono di risorse per lo sviluppo”.</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Pr>
          <w:rFonts w:ascii="Arial" w:hAnsi="Arial"/>
          <w:b w:val="0"/>
        </w:rPr>
        <w:t>Oltre ai reference design, Würth Elektronik offre sul proprio sito web anche numerose Application Note create in collaborazione con i produttori di circuiti integrati, nonché informazioni su eventi imminenti.</w:t>
      </w:r>
    </w:p>
    <w:p w14:paraId="0E207960" w14:textId="1D4F7B1D" w:rsidR="007B0944" w:rsidRDefault="007B0944" w:rsidP="007B0944">
      <w:pPr>
        <w:pStyle w:val="Textkrper"/>
        <w:spacing w:before="120" w:after="120" w:line="260" w:lineRule="exact"/>
        <w:rPr>
          <w:rStyle w:val="Hyperlink"/>
          <w:rFonts w:ascii="Arial" w:hAnsi="Arial"/>
          <w:b w:val="0"/>
          <w:bCs w:val="0"/>
        </w:rPr>
      </w:pPr>
      <w:r>
        <w:rPr>
          <w:rFonts w:ascii="Arial" w:hAnsi="Arial"/>
          <w:b w:val="0"/>
        </w:rPr>
        <w:t>I reference design Infineon sono disponibili all'indirizzo:</w:t>
      </w:r>
      <w:r>
        <w:rPr>
          <w:rFonts w:ascii="Arial" w:hAnsi="Arial"/>
          <w:b w:val="0"/>
        </w:rPr>
        <w:br/>
      </w:r>
      <w:hyperlink r:id="rId11" w:history="1">
        <w:r>
          <w:rPr>
            <w:rStyle w:val="Hyperlink"/>
            <w:rFonts w:ascii="Arial" w:hAnsi="Arial"/>
            <w:b w:val="0"/>
          </w:rPr>
          <w:t>https://www.we-online.com/en/components/icref/infineon-technologies</w:t>
        </w:r>
      </w:hyperlink>
    </w:p>
    <w:p w14:paraId="6D06C944" w14:textId="725384AF" w:rsidR="00667945" w:rsidRDefault="00667945" w:rsidP="007B0944">
      <w:pPr>
        <w:pStyle w:val="Textkrper"/>
        <w:spacing w:before="120" w:after="120" w:line="260" w:lineRule="exact"/>
        <w:rPr>
          <w:rFonts w:ascii="Arial" w:hAnsi="Arial"/>
          <w:b w:val="0"/>
          <w:bCs w:val="0"/>
        </w:rPr>
      </w:pPr>
      <w:r>
        <w:rPr>
          <w:rFonts w:ascii="Arial" w:hAnsi="Arial"/>
          <w:b w:val="0"/>
        </w:rPr>
        <w:t>Di seguito una panoramica di tutti i partner di circuiti stampati e dei reference design:</w:t>
      </w:r>
      <w:r>
        <w:rPr>
          <w:rFonts w:ascii="Arial" w:hAnsi="Arial"/>
          <w:b w:val="0"/>
        </w:rPr>
        <w:br/>
      </w:r>
      <w:hyperlink r:id="rId12" w:history="1">
        <w:r>
          <w:rPr>
            <w:rStyle w:val="Hyperlink"/>
            <w:rFonts w:ascii="Arial" w:hAnsi="Arial"/>
            <w:b w:val="0"/>
          </w:rPr>
          <w:t>https://www.we-online.com/en/components/icref</w:t>
        </w:r>
      </w:hyperlink>
    </w:p>
    <w:p w14:paraId="1234994F" w14:textId="77777777" w:rsidR="00667945" w:rsidRDefault="00667945" w:rsidP="007B0944">
      <w:pPr>
        <w:pStyle w:val="Textkrper"/>
        <w:spacing w:before="120" w:after="120" w:line="260" w:lineRule="exact"/>
        <w:rPr>
          <w:rFonts w:ascii="Arial" w:hAnsi="Arial"/>
          <w:b w:val="0"/>
          <w:bCs w:val="0"/>
        </w:rPr>
      </w:pP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282117CD" w14:textId="77777777" w:rsidR="007E33DE" w:rsidRPr="00970FD9" w:rsidRDefault="007E33DE" w:rsidP="007E33DE">
      <w:pPr>
        <w:spacing w:after="120" w:line="280" w:lineRule="exact"/>
        <w:rPr>
          <w:rFonts w:ascii="Arial" w:hAnsi="Arial" w:cs="Arial"/>
          <w:b/>
          <w:bCs/>
          <w:sz w:val="18"/>
          <w:szCs w:val="18"/>
        </w:rPr>
      </w:pPr>
      <w:r w:rsidRPr="00970FD9">
        <w:rPr>
          <w:rFonts w:ascii="Arial" w:hAnsi="Arial"/>
          <w:b/>
          <w:sz w:val="18"/>
        </w:rPr>
        <w:t>Immagini disponibili</w:t>
      </w:r>
    </w:p>
    <w:p w14:paraId="3C9B88DA" w14:textId="5E7C470B" w:rsidR="00485E6F" w:rsidRPr="007E33DE" w:rsidRDefault="007E33DE"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3"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A5EE7EF" w:rsidR="00485E6F" w:rsidRPr="00B94DAE" w:rsidRDefault="00485E6F" w:rsidP="00CE17D6">
            <w:pPr>
              <w:pStyle w:val="txt"/>
              <w:rPr>
                <w:b/>
                <w:bCs/>
                <w:sz w:val="18"/>
              </w:rPr>
            </w:pPr>
            <w:r>
              <w:rPr>
                <w:b/>
              </w:rPr>
              <w:br/>
            </w:r>
            <w:r w:rsidR="00EE3C94">
              <w:rPr>
                <w:noProof/>
              </w:rPr>
              <w:drawing>
                <wp:inline distT="0" distB="0" distL="0" distR="0" wp14:anchorId="75893879" wp14:editId="3E9249D9">
                  <wp:extent cx="2139950" cy="988695"/>
                  <wp:effectExtent l="0" t="0" r="0" b="1905"/>
                  <wp:docPr id="13836366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Pr>
                <w:sz w:val="16"/>
              </w:rPr>
              <w:t xml:space="preserve">Foto di: Würth Elektronik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b/>
                <w:sz w:val="18"/>
              </w:rPr>
              <w:t>Possibilità di scegliere liberamente: le sviluppatrici e gli sviluppatori possono utilizzare varie funzioni di ricerca e filtro per selezionare il reference design più adatto a loro.</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00755F44" w:rsidR="006E0E14" w:rsidRPr="00B94DAE" w:rsidRDefault="006E0E14" w:rsidP="00F20D79">
            <w:pPr>
              <w:pStyle w:val="txt"/>
              <w:rPr>
                <w:b/>
                <w:bCs/>
                <w:sz w:val="18"/>
              </w:rPr>
            </w:pPr>
            <w:r>
              <w:rPr>
                <w:b/>
              </w:rPr>
              <w:br/>
            </w:r>
            <w:r w:rsidR="00EE3C94">
              <w:rPr>
                <w:noProof/>
              </w:rPr>
              <w:drawing>
                <wp:inline distT="0" distB="0" distL="0" distR="0" wp14:anchorId="5342DDD1" wp14:editId="31D474D1">
                  <wp:extent cx="2139950" cy="999490"/>
                  <wp:effectExtent l="0" t="0" r="0" b="0"/>
                  <wp:docPr id="20029660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Pr>
                <w:sz w:val="16"/>
              </w:rPr>
              <w:t xml:space="preserve">Foto di: Würth Elektronik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b/>
                <w:sz w:val="18"/>
              </w:rPr>
              <w:t>Tutte le informazioni a colpo d'occhio: oltre alla descrizione del circuito integrato e dell'applicazione, le pagine relative ai reference design offrono una lista dei materiali (BOM) interattiva con collegamento alla piattaforma di simulazione REDEXPERT.</w:t>
            </w:r>
            <w:r>
              <w:rPr>
                <w:rFonts w:ascii="Arial" w:hAnsi="Arial"/>
                <w:b/>
                <w:sz w:val="18"/>
              </w:rPr>
              <w:br/>
            </w:r>
          </w:p>
        </w:tc>
      </w:tr>
    </w:tbl>
    <w:p w14:paraId="1C0A00A0" w14:textId="77777777" w:rsidR="00745CED" w:rsidRPr="00B94DAE" w:rsidRDefault="00745CED" w:rsidP="00485E6F">
      <w:pPr>
        <w:pStyle w:val="PITextkrper"/>
        <w:rPr>
          <w:b/>
          <w:bCs/>
          <w:sz w:val="18"/>
          <w:szCs w:val="18"/>
          <w:lang w:val="de-DE"/>
        </w:rPr>
      </w:pPr>
    </w:p>
    <w:p w14:paraId="0BA87216" w14:textId="77777777" w:rsidR="00485E6F" w:rsidRDefault="00485E6F" w:rsidP="00485E6F">
      <w:pPr>
        <w:pStyle w:val="PITextkrper"/>
        <w:pBdr>
          <w:top w:val="single" w:sz="4" w:space="1" w:color="auto"/>
        </w:pBdr>
        <w:spacing w:before="240"/>
        <w:rPr>
          <w:b/>
          <w:sz w:val="18"/>
          <w:szCs w:val="18"/>
          <w:lang w:val="de-DE"/>
        </w:rPr>
      </w:pPr>
    </w:p>
    <w:p w14:paraId="3F5239A3" w14:textId="77777777" w:rsidR="007E33DE" w:rsidRPr="00970FD9" w:rsidRDefault="007E33DE" w:rsidP="007E33DE">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507A056B" w14:textId="77777777" w:rsidR="007E33DE" w:rsidRPr="00332404" w:rsidRDefault="007E33DE" w:rsidP="007E33DE">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742EC697" w14:textId="77777777" w:rsidR="007E33DE" w:rsidRPr="00332404" w:rsidRDefault="007E33DE" w:rsidP="007E33DE">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41857E33" w14:textId="77777777" w:rsidR="007E33DE" w:rsidRPr="00900894" w:rsidRDefault="007E33DE" w:rsidP="007E33DE">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3947415F" w14:textId="77777777" w:rsidR="007E33DE" w:rsidRPr="00332404" w:rsidRDefault="007E33DE" w:rsidP="007E33DE">
      <w:pPr>
        <w:pStyle w:val="Textkrper"/>
        <w:spacing w:before="120" w:after="120" w:line="276" w:lineRule="auto"/>
        <w:jc w:val="both"/>
        <w:rPr>
          <w:rFonts w:ascii="Arial" w:hAnsi="Arial"/>
          <w:b w:val="0"/>
        </w:rPr>
      </w:pPr>
      <w:bookmarkStart w:id="1" w:name="_Hlk39740582"/>
      <w:r w:rsidRPr="00900894">
        <w:rPr>
          <w:rFonts w:ascii="Arial" w:hAnsi="Arial"/>
          <w:b w:val="0"/>
        </w:rPr>
        <w:t>Würth Elektronik fa parte del gruppo Würth, leader mondiale nell’ambito dello sviluppo, della produzione e della commercializzazione di materiale di montaggio e di fissaggio e offre impiego a circa 7500 dipendenti. Il Gruppo Würth Elektronik ha registrato un fatturato di 1 miliardi di Euro (tutte le cifre si basano sui risultati preliminari per il 2024).</w:t>
      </w:r>
    </w:p>
    <w:bookmarkEnd w:id="1"/>
    <w:p w14:paraId="7DA3A0FD" w14:textId="77777777" w:rsidR="007E33DE" w:rsidRPr="00970FD9" w:rsidRDefault="007E33DE" w:rsidP="007E33DE">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0964150E" w14:textId="77777777" w:rsidR="007E33DE" w:rsidRPr="00970FD9" w:rsidRDefault="007E33DE" w:rsidP="007E33DE">
      <w:pPr>
        <w:pStyle w:val="Textkrper"/>
        <w:spacing w:before="120" w:after="120" w:line="276" w:lineRule="auto"/>
        <w:rPr>
          <w:rFonts w:ascii="Arial" w:hAnsi="Arial"/>
        </w:rPr>
      </w:pPr>
      <w:r w:rsidRPr="00970FD9">
        <w:rPr>
          <w:rFonts w:ascii="Arial" w:hAnsi="Arial"/>
        </w:rPr>
        <w:t>Per ulteriori informazioni consultare il sito www.we-online.com</w:t>
      </w:r>
    </w:p>
    <w:p w14:paraId="5F887966" w14:textId="77777777" w:rsidR="007E33DE" w:rsidRPr="00970FD9" w:rsidRDefault="007E33DE" w:rsidP="007E33D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33DE" w:rsidRPr="00625C04" w14:paraId="17588D86" w14:textId="77777777" w:rsidTr="00AD0228">
        <w:tc>
          <w:tcPr>
            <w:tcW w:w="3902" w:type="dxa"/>
            <w:shd w:val="clear" w:color="auto" w:fill="auto"/>
            <w:hideMark/>
          </w:tcPr>
          <w:p w14:paraId="11A62A8E" w14:textId="77777777" w:rsidR="007E33DE" w:rsidRPr="00970FD9" w:rsidRDefault="007E33DE" w:rsidP="00AD0228">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EBB3DAA" w14:textId="77777777" w:rsidR="007E33DE" w:rsidRPr="00970FD9" w:rsidRDefault="007E33DE" w:rsidP="00AD0228">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60395F73" w14:textId="77777777" w:rsidR="007E33DE" w:rsidRPr="0077777E" w:rsidRDefault="007E33DE" w:rsidP="00AD0228">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40F9D91" w14:textId="77777777" w:rsidR="007E33DE" w:rsidRPr="00625C04" w:rsidRDefault="007E33DE" w:rsidP="00AD0228">
            <w:pPr>
              <w:spacing w:before="120" w:after="120" w:line="276" w:lineRule="auto"/>
              <w:rPr>
                <w:rFonts w:ascii="Arial" w:hAnsi="Arial" w:cs="Arial"/>
                <w:bCs/>
                <w:sz w:val="20"/>
              </w:rPr>
            </w:pPr>
            <w:r>
              <w:rPr>
                <w:rFonts w:ascii="Arial" w:hAnsi="Arial"/>
                <w:sz w:val="20"/>
              </w:rPr>
              <w:t>www.we-online.com</w:t>
            </w:r>
          </w:p>
          <w:p w14:paraId="361C6E89" w14:textId="77777777" w:rsidR="007E33DE" w:rsidRPr="00625C04" w:rsidRDefault="007E33DE" w:rsidP="00AD0228">
            <w:pPr>
              <w:spacing w:before="120" w:after="120" w:line="276" w:lineRule="auto"/>
              <w:rPr>
                <w:rFonts w:ascii="Arial" w:hAnsi="Arial" w:cs="Arial"/>
                <w:bCs/>
                <w:sz w:val="20"/>
              </w:rPr>
            </w:pPr>
          </w:p>
        </w:tc>
        <w:tc>
          <w:tcPr>
            <w:tcW w:w="3193" w:type="dxa"/>
            <w:shd w:val="clear" w:color="auto" w:fill="auto"/>
            <w:hideMark/>
          </w:tcPr>
          <w:p w14:paraId="7BC953B5" w14:textId="77777777" w:rsidR="007E33DE" w:rsidRPr="00970FD9" w:rsidRDefault="007E33DE" w:rsidP="00AD0228">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59D5411" w14:textId="77777777" w:rsidR="007E33DE" w:rsidRPr="00970FD9" w:rsidRDefault="007E33DE" w:rsidP="00AD0228">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FAF0032" w14:textId="77777777" w:rsidR="007E33DE" w:rsidRPr="00970FD9" w:rsidRDefault="007E33DE" w:rsidP="00AD0228">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67A746EB" w14:textId="77777777" w:rsidR="007E33DE" w:rsidRPr="00625C04" w:rsidRDefault="007E33DE" w:rsidP="00AD022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4BA04AE" w14:textId="77777777" w:rsidR="007E33DE" w:rsidRPr="00B94DAE" w:rsidRDefault="007E33DE" w:rsidP="007E33DE">
      <w:pPr>
        <w:pStyle w:val="PITextkrper"/>
        <w:spacing w:before="240"/>
        <w:rPr>
          <w:b/>
          <w:sz w:val="18"/>
          <w:szCs w:val="18"/>
          <w:lang w:val="de-DE"/>
        </w:rPr>
      </w:pPr>
    </w:p>
    <w:sectPr w:rsidR="007E33DE"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4322" w14:textId="77777777" w:rsidR="00385089" w:rsidRDefault="00385089">
      <w:r>
        <w:separator/>
      </w:r>
    </w:p>
  </w:endnote>
  <w:endnote w:type="continuationSeparator" w:id="0">
    <w:p w14:paraId="7981F753" w14:textId="77777777" w:rsidR="00385089" w:rsidRDefault="003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AFBB69F" w:rsidR="00D84800" w:rsidRPr="00C84014"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84014">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7E33DE">
      <w:rPr>
        <w:rFonts w:ascii="Arial" w:hAnsi="Arial" w:cs="Arial"/>
        <w:noProof/>
        <w:snapToGrid w:val="0"/>
        <w:sz w:val="16"/>
      </w:rPr>
      <w:t>WTH1PI1617</w:t>
    </w:r>
    <w:r w:rsidRPr="00A74816">
      <w:rPr>
        <w:rFonts w:ascii="Arial" w:hAnsi="Arial" w:cs="Arial"/>
        <w:snapToGrid w:val="0"/>
        <w:sz w:val="16"/>
      </w:rPr>
      <w:fldChar w:fldCharType="end"/>
    </w:r>
    <w:r w:rsidR="007E33DE">
      <w:rPr>
        <w:rFonts w:ascii="Arial" w:hAnsi="Arial" w:cs="Arial"/>
        <w:snapToGrid w:val="0"/>
        <w:sz w:val="16"/>
      </w:rPr>
      <w:t>_it</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7A9F" w14:textId="77777777" w:rsidR="00385089" w:rsidRDefault="00385089">
      <w:r>
        <w:separator/>
      </w:r>
    </w:p>
  </w:footnote>
  <w:footnote w:type="continuationSeparator" w:id="0">
    <w:p w14:paraId="3753A28A" w14:textId="77777777" w:rsidR="00385089" w:rsidRDefault="0038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4B16"/>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4AB"/>
    <w:rsid w:val="001255F4"/>
    <w:rsid w:val="00125D37"/>
    <w:rsid w:val="001274FC"/>
    <w:rsid w:val="00131977"/>
    <w:rsid w:val="00131F4F"/>
    <w:rsid w:val="00135811"/>
    <w:rsid w:val="001456DE"/>
    <w:rsid w:val="0014630E"/>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65F2"/>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54EA"/>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3DE"/>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BD6"/>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4CC"/>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362F4"/>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243D"/>
    <w:rsid w:val="00E56EB0"/>
    <w:rsid w:val="00E57E93"/>
    <w:rsid w:val="00E63CB1"/>
    <w:rsid w:val="00E67044"/>
    <w:rsid w:val="00E8050A"/>
    <w:rsid w:val="00E815D2"/>
    <w:rsid w:val="00E821A2"/>
    <w:rsid w:val="00E86437"/>
    <w:rsid w:val="00E877C9"/>
    <w:rsid w:val="00E87BA5"/>
    <w:rsid w:val="00E966E4"/>
    <w:rsid w:val="00E96706"/>
    <w:rsid w:val="00EA03DE"/>
    <w:rsid w:val="00EA0C44"/>
    <w:rsid w:val="00EA438E"/>
    <w:rsid w:val="00EA530D"/>
    <w:rsid w:val="00EA5874"/>
    <w:rsid w:val="00EA7C20"/>
    <w:rsid w:val="00EB12AA"/>
    <w:rsid w:val="00EC48ED"/>
    <w:rsid w:val="00EC6274"/>
    <w:rsid w:val="00EC6970"/>
    <w:rsid w:val="00EC6BFA"/>
    <w:rsid w:val="00ED0389"/>
    <w:rsid w:val="00ED24DF"/>
    <w:rsid w:val="00ED67AA"/>
    <w:rsid w:val="00EE17CD"/>
    <w:rsid w:val="00EE3C94"/>
    <w:rsid w:val="00EE3F9D"/>
    <w:rsid w:val="00EE59B9"/>
    <w:rsid w:val="00EE6C4D"/>
    <w:rsid w:val="00EF6119"/>
    <w:rsid w:val="00EF62C4"/>
    <w:rsid w:val="00EF7895"/>
    <w:rsid w:val="00F020E7"/>
    <w:rsid w:val="00F02E63"/>
    <w:rsid w:val="00F06103"/>
    <w:rsid w:val="00F11AAA"/>
    <w:rsid w:val="00F1272C"/>
    <w:rsid w:val="00F13328"/>
    <w:rsid w:val="00F14F24"/>
    <w:rsid w:val="00F157AD"/>
    <w:rsid w:val="00F1580B"/>
    <w:rsid w:val="00F2437A"/>
    <w:rsid w:val="00F258BE"/>
    <w:rsid w:val="00F26A7D"/>
    <w:rsid w:val="00F27950"/>
    <w:rsid w:val="00F55A20"/>
    <w:rsid w:val="00F61BC9"/>
    <w:rsid w:val="00F630C4"/>
    <w:rsid w:val="00F633C4"/>
    <w:rsid w:val="00F717D7"/>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5337</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2025-03-12T12:11:00Z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